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left"/>
        <w:rPr>
          <w:sz w:val="32"/>
          <w:szCs w:val="32"/>
        </w:rPr>
      </w:pPr>
    </w:p>
    <w:p>
      <w:pPr>
        <w:ind w:firstLine="640"/>
        <w:jc w:val="left"/>
        <w:rPr>
          <w:sz w:val="32"/>
          <w:szCs w:val="32"/>
        </w:rPr>
      </w:pPr>
    </w:p>
    <w:p>
      <w:pPr>
        <w:spacing w:line="576"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沈阳市人民防空工程质量监督管理规定</w:t>
      </w:r>
    </w:p>
    <w:p>
      <w:pPr>
        <w:spacing w:line="566" w:lineRule="exact"/>
        <w:ind w:firstLine="640"/>
        <w:jc w:val="left"/>
        <w:rPr>
          <w:sz w:val="32"/>
          <w:szCs w:val="32"/>
        </w:rPr>
      </w:pPr>
    </w:p>
    <w:p>
      <w:pPr>
        <w:spacing w:line="566" w:lineRule="exact"/>
        <w:ind w:firstLine="0" w:firstLineChars="0"/>
        <w:jc w:val="center"/>
        <w:rPr>
          <w:rFonts w:ascii="楷体_GB2312" w:eastAsia="楷体_GB2312"/>
          <w:sz w:val="32"/>
          <w:szCs w:val="32"/>
        </w:rPr>
      </w:pPr>
      <w:r>
        <w:rPr>
          <w:rFonts w:hint="eastAsia" w:ascii="楷体_GB2312" w:eastAsia="楷体_GB2312"/>
          <w:sz w:val="32"/>
          <w:szCs w:val="32"/>
        </w:rPr>
        <w:t>（2006年8月9日沈阳市人民政府第61号令公布　自</w:t>
      </w:r>
      <w:r>
        <w:rPr>
          <w:rFonts w:ascii="楷体_GB2312" w:eastAsia="楷体_GB2312"/>
          <w:sz w:val="32"/>
          <w:szCs w:val="32"/>
        </w:rPr>
        <w:t>2006年10月1日起施行</w:t>
      </w:r>
      <w:r>
        <w:rPr>
          <w:rFonts w:hint="eastAsia" w:ascii="楷体_GB2312" w:eastAsia="楷体_GB2312"/>
          <w:sz w:val="32"/>
          <w:szCs w:val="32"/>
        </w:rPr>
        <w:t>）</w:t>
      </w:r>
    </w:p>
    <w:p>
      <w:pPr>
        <w:pStyle w:val="8"/>
        <w:spacing w:line="566" w:lineRule="exact"/>
        <w:ind w:firstLine="640"/>
        <w:rPr>
          <w:rFonts w:ascii="黑体" w:hAnsi="宋体" w:eastAsia="黑体" w:cs="宋体"/>
          <w:sz w:val="32"/>
          <w:szCs w:val="32"/>
        </w:rPr>
      </w:pPr>
    </w:p>
    <w:p>
      <w:pPr>
        <w:spacing w:line="566" w:lineRule="exact"/>
        <w:ind w:firstLine="640"/>
        <w:rPr>
          <w:sz w:val="32"/>
          <w:szCs w:val="32"/>
        </w:rPr>
      </w:pPr>
      <w:r>
        <w:rPr>
          <w:rFonts w:hint="eastAsia" w:ascii="黑体" w:eastAsia="黑体"/>
          <w:sz w:val="32"/>
          <w:szCs w:val="32"/>
        </w:rPr>
        <w:t>第一条　</w:t>
      </w:r>
      <w:r>
        <w:rPr>
          <w:rFonts w:hint="eastAsia"/>
          <w:sz w:val="32"/>
          <w:szCs w:val="32"/>
        </w:rPr>
        <w:t>为加强对人民防空工程（以下简称人防工程）质量的监督管理，保证工程质量，根据《中华人民共和国人民防空法》、《</w:t>
      </w:r>
      <w:r>
        <w:rPr>
          <w:rFonts w:hint="eastAsia"/>
          <w:sz w:val="32"/>
          <w:szCs w:val="32"/>
          <w:lang w:eastAsia="zh-CN"/>
        </w:rPr>
        <w:t>建设工程质量管理条例</w:t>
      </w:r>
      <w:bookmarkStart w:id="0" w:name="_GoBack"/>
      <w:bookmarkEnd w:id="0"/>
      <w:r>
        <w:rPr>
          <w:rFonts w:hint="eastAsia"/>
          <w:sz w:val="32"/>
          <w:szCs w:val="32"/>
        </w:rPr>
        <w:t>》等有关法律、法规规定，结合本市实际，制定本规定。</w:t>
      </w:r>
    </w:p>
    <w:p>
      <w:pPr>
        <w:spacing w:line="566" w:lineRule="exact"/>
        <w:ind w:firstLine="640"/>
        <w:rPr>
          <w:sz w:val="32"/>
          <w:szCs w:val="32"/>
        </w:rPr>
      </w:pPr>
      <w:r>
        <w:rPr>
          <w:rFonts w:hint="eastAsia" w:ascii="黑体" w:eastAsia="黑体"/>
          <w:sz w:val="32"/>
          <w:szCs w:val="32"/>
        </w:rPr>
        <w:t>第二条　</w:t>
      </w:r>
      <w:r>
        <w:rPr>
          <w:rFonts w:hint="eastAsia"/>
          <w:sz w:val="32"/>
          <w:szCs w:val="32"/>
        </w:rPr>
        <w:t>本规定适用于在本市建设的人防工程。</w:t>
      </w:r>
    </w:p>
    <w:p>
      <w:pPr>
        <w:spacing w:line="566" w:lineRule="exact"/>
        <w:ind w:firstLine="640"/>
        <w:rPr>
          <w:sz w:val="32"/>
          <w:szCs w:val="32"/>
        </w:rPr>
      </w:pPr>
      <w:r>
        <w:rPr>
          <w:rFonts w:hint="eastAsia" w:ascii="黑体" w:eastAsia="黑体"/>
          <w:sz w:val="32"/>
          <w:szCs w:val="32"/>
        </w:rPr>
        <w:t>第三条　</w:t>
      </w:r>
      <w:r>
        <w:rPr>
          <w:rFonts w:hint="eastAsia"/>
          <w:sz w:val="32"/>
          <w:szCs w:val="32"/>
        </w:rPr>
        <w:t>市人民防空办公室是人防工程质量监督的行政主管部门，市人民防空工程质量监督站具体负责人防工程质量的监督管理，主要履行下列职责：</w:t>
      </w:r>
    </w:p>
    <w:p>
      <w:pPr>
        <w:spacing w:line="566" w:lineRule="exact"/>
        <w:ind w:firstLine="640"/>
        <w:rPr>
          <w:sz w:val="32"/>
          <w:szCs w:val="32"/>
        </w:rPr>
      </w:pPr>
      <w:r>
        <w:rPr>
          <w:rFonts w:hint="eastAsia"/>
          <w:sz w:val="32"/>
          <w:szCs w:val="32"/>
        </w:rPr>
        <w:t>（一）贯彻国家有关人防工程质量监督方面的法律、法规、方针和政策；</w:t>
      </w:r>
    </w:p>
    <w:p>
      <w:pPr>
        <w:spacing w:line="566" w:lineRule="exact"/>
        <w:ind w:firstLine="640"/>
        <w:rPr>
          <w:sz w:val="32"/>
          <w:szCs w:val="32"/>
        </w:rPr>
      </w:pPr>
      <w:r>
        <w:rPr>
          <w:rFonts w:hint="eastAsia"/>
          <w:sz w:val="32"/>
          <w:szCs w:val="32"/>
        </w:rPr>
        <w:t>（二）负责本地区人防工程质量监督和检测工作的规划和管理，协调处理本地区人防工程质量问题的争端；</w:t>
      </w:r>
    </w:p>
    <w:p>
      <w:pPr>
        <w:spacing w:line="566" w:lineRule="exact"/>
        <w:ind w:firstLine="640"/>
        <w:rPr>
          <w:sz w:val="32"/>
          <w:szCs w:val="32"/>
        </w:rPr>
      </w:pPr>
      <w:r>
        <w:rPr>
          <w:rFonts w:hint="eastAsia"/>
          <w:sz w:val="32"/>
          <w:szCs w:val="32"/>
        </w:rPr>
        <w:t>（三）检查受监工程的勘察、设计、施工、监理单位和人防构配件厂的资质等级；</w:t>
      </w:r>
    </w:p>
    <w:p>
      <w:pPr>
        <w:spacing w:line="566" w:lineRule="exact"/>
        <w:ind w:firstLine="640"/>
        <w:rPr>
          <w:sz w:val="32"/>
          <w:szCs w:val="32"/>
        </w:rPr>
      </w:pPr>
      <w:r>
        <w:rPr>
          <w:rFonts w:hint="eastAsia"/>
          <w:sz w:val="32"/>
          <w:szCs w:val="32"/>
        </w:rPr>
        <w:t>（四）负责审查人防工程施工图设计文件；</w:t>
      </w:r>
    </w:p>
    <w:p>
      <w:pPr>
        <w:spacing w:line="566" w:lineRule="exact"/>
        <w:ind w:firstLine="640"/>
        <w:rPr>
          <w:sz w:val="32"/>
          <w:szCs w:val="32"/>
        </w:rPr>
      </w:pPr>
      <w:r>
        <w:rPr>
          <w:rFonts w:hint="eastAsia"/>
          <w:sz w:val="32"/>
          <w:szCs w:val="32"/>
        </w:rPr>
        <w:t>（五）履行法律、法规规定的其他职责。</w:t>
      </w:r>
    </w:p>
    <w:p>
      <w:pPr>
        <w:spacing w:line="576" w:lineRule="exact"/>
        <w:ind w:firstLine="640"/>
        <w:rPr>
          <w:sz w:val="32"/>
          <w:szCs w:val="32"/>
        </w:rPr>
      </w:pPr>
      <w:r>
        <w:rPr>
          <w:rFonts w:hint="eastAsia" w:ascii="黑体" w:eastAsia="黑体"/>
          <w:sz w:val="32"/>
          <w:szCs w:val="32"/>
        </w:rPr>
        <w:t>第四条　</w:t>
      </w:r>
      <w:r>
        <w:rPr>
          <w:rFonts w:hint="eastAsia"/>
          <w:sz w:val="32"/>
          <w:szCs w:val="32"/>
        </w:rPr>
        <w:t>新建民用建筑应当按照下列标准修建防空地下室：</w:t>
      </w:r>
    </w:p>
    <w:p>
      <w:pPr>
        <w:spacing w:line="576" w:lineRule="exact"/>
        <w:ind w:firstLine="640"/>
        <w:rPr>
          <w:sz w:val="32"/>
          <w:szCs w:val="32"/>
        </w:rPr>
      </w:pPr>
      <w:r>
        <w:rPr>
          <w:rFonts w:hint="eastAsia"/>
          <w:sz w:val="32"/>
          <w:szCs w:val="32"/>
        </w:rPr>
        <w:t>（一）新建10层以上或者基础埋深3米以上的民用建筑，按照地面首层建筑面积修建6级以上防空地下室；</w:t>
      </w:r>
    </w:p>
    <w:p>
      <w:pPr>
        <w:spacing w:line="576" w:lineRule="exact"/>
        <w:ind w:firstLine="640"/>
        <w:rPr>
          <w:sz w:val="32"/>
          <w:szCs w:val="32"/>
        </w:rPr>
      </w:pPr>
      <w:r>
        <w:rPr>
          <w:rFonts w:hint="eastAsia"/>
          <w:sz w:val="32"/>
          <w:szCs w:val="32"/>
        </w:rPr>
        <w:t>（二）新建除第（一）项规定和居民住宅以外的其他民用建筑，地面总建筑面积在2000平方米以上的，按照地面建筑面积的4-5％修建6级以上防空地下室；</w:t>
      </w:r>
    </w:p>
    <w:p>
      <w:pPr>
        <w:spacing w:line="576" w:lineRule="exact"/>
        <w:ind w:firstLine="640"/>
        <w:rPr>
          <w:sz w:val="32"/>
          <w:szCs w:val="32"/>
        </w:rPr>
      </w:pPr>
      <w:r>
        <w:rPr>
          <w:rFonts w:hint="eastAsia"/>
          <w:sz w:val="32"/>
          <w:szCs w:val="32"/>
        </w:rPr>
        <w:t>（三）开发区、工业园区、保税区和重要经济目标区，除第（一）项规定和居民住宅以外的新建民用建筑，按照一次性规划地面总建筑面积的4—5％集中修建6级以上防空地下室；</w:t>
      </w:r>
    </w:p>
    <w:p>
      <w:pPr>
        <w:spacing w:line="576" w:lineRule="exact"/>
        <w:ind w:firstLine="640"/>
        <w:rPr>
          <w:sz w:val="32"/>
          <w:szCs w:val="32"/>
        </w:rPr>
      </w:pPr>
      <w:r>
        <w:rPr>
          <w:rFonts w:hint="eastAsia"/>
          <w:sz w:val="32"/>
          <w:szCs w:val="32"/>
        </w:rPr>
        <w:t>（四）新建除第（一）项规定以外的居民住宅楼，按照地面首层建筑面积修建6B级防空地下室。</w:t>
      </w:r>
    </w:p>
    <w:p>
      <w:pPr>
        <w:spacing w:line="576" w:lineRule="exact"/>
        <w:ind w:firstLine="640"/>
        <w:rPr>
          <w:sz w:val="32"/>
          <w:szCs w:val="32"/>
        </w:rPr>
      </w:pPr>
      <w:r>
        <w:rPr>
          <w:rFonts w:hint="eastAsia"/>
          <w:sz w:val="32"/>
          <w:szCs w:val="32"/>
        </w:rPr>
        <w:t>凡应当建设人防工程经市人防行政主管部门批准不建的，建设单位必须缴纳易地建设费。</w:t>
      </w:r>
    </w:p>
    <w:p>
      <w:pPr>
        <w:spacing w:line="576" w:lineRule="exact"/>
        <w:ind w:firstLine="640"/>
        <w:rPr>
          <w:sz w:val="32"/>
          <w:szCs w:val="32"/>
        </w:rPr>
      </w:pPr>
      <w:r>
        <w:rPr>
          <w:rFonts w:hint="eastAsia" w:ascii="黑体" w:eastAsia="黑体"/>
          <w:sz w:val="32"/>
          <w:szCs w:val="32"/>
        </w:rPr>
        <w:t>第五条　</w:t>
      </w:r>
      <w:r>
        <w:rPr>
          <w:rFonts w:hint="eastAsia"/>
          <w:sz w:val="32"/>
          <w:szCs w:val="32"/>
        </w:rPr>
        <w:t>人防工程的建设单位应当到市人防行政主管部门办理有关立项手续，确定新建防空地下室的抗力级别和战时用途。</w:t>
      </w:r>
    </w:p>
    <w:p>
      <w:pPr>
        <w:spacing w:line="576" w:lineRule="exact"/>
        <w:ind w:firstLine="640"/>
        <w:rPr>
          <w:sz w:val="32"/>
          <w:szCs w:val="32"/>
        </w:rPr>
      </w:pPr>
      <w:r>
        <w:rPr>
          <w:rFonts w:hint="eastAsia" w:ascii="黑体" w:eastAsia="黑体"/>
          <w:sz w:val="32"/>
          <w:szCs w:val="32"/>
        </w:rPr>
        <w:t>第六条</w:t>
      </w:r>
      <w:r>
        <w:rPr>
          <w:rFonts w:hint="eastAsia"/>
          <w:sz w:val="32"/>
          <w:szCs w:val="32"/>
        </w:rPr>
        <w:t>　建设单位必须委托人防专业设计单位或者乙级以上资质的设计单位按照国家颁布的强制性标准进行人防工程设计。</w:t>
      </w:r>
    </w:p>
    <w:p>
      <w:pPr>
        <w:spacing w:line="576" w:lineRule="exact"/>
        <w:ind w:firstLine="640"/>
        <w:rPr>
          <w:sz w:val="32"/>
          <w:szCs w:val="32"/>
        </w:rPr>
      </w:pPr>
      <w:r>
        <w:rPr>
          <w:rFonts w:hint="eastAsia"/>
          <w:sz w:val="32"/>
          <w:szCs w:val="32"/>
        </w:rPr>
        <w:t>人防工程设计必须符合《人民防空战术技术要求》、《人民防空地下室设计规范》、《人民防空工程设计规范》和《人民防空工程设计防火规范》及有关规定。</w:t>
      </w:r>
    </w:p>
    <w:p>
      <w:pPr>
        <w:spacing w:line="576" w:lineRule="exact"/>
        <w:ind w:firstLine="640"/>
        <w:rPr>
          <w:sz w:val="32"/>
          <w:szCs w:val="32"/>
        </w:rPr>
      </w:pPr>
      <w:r>
        <w:rPr>
          <w:rFonts w:hint="eastAsia" w:ascii="黑体" w:eastAsia="黑体"/>
          <w:sz w:val="32"/>
          <w:szCs w:val="32"/>
        </w:rPr>
        <w:t>第七条　</w:t>
      </w:r>
      <w:r>
        <w:rPr>
          <w:rFonts w:hint="eastAsia"/>
          <w:sz w:val="32"/>
          <w:szCs w:val="32"/>
        </w:rPr>
        <w:t>建设单位应当将人防工程的初步设计送至市人防工程质量监督站进行审查，审查合格后，签发初步设计审批通知书，建设单位据此委托施工图设计。施工图完成后，再送至市人防工程质量监督站审查，审查合格后，签发施工图审批通知书。审查不合格的，必须按照市人防工程质量监督站的审批意见进行修改后，再报复审。</w:t>
      </w:r>
    </w:p>
    <w:p>
      <w:pPr>
        <w:spacing w:line="576" w:lineRule="exact"/>
        <w:ind w:firstLine="640"/>
        <w:rPr>
          <w:sz w:val="32"/>
          <w:szCs w:val="32"/>
        </w:rPr>
      </w:pPr>
      <w:r>
        <w:rPr>
          <w:rFonts w:hint="eastAsia" w:ascii="黑体" w:eastAsia="黑体"/>
          <w:sz w:val="32"/>
          <w:szCs w:val="32"/>
        </w:rPr>
        <w:t>第八条　</w:t>
      </w:r>
      <w:r>
        <w:rPr>
          <w:rFonts w:hint="eastAsia"/>
          <w:sz w:val="32"/>
          <w:szCs w:val="32"/>
        </w:rPr>
        <w:t>在人防工程开工前，建设单位应当到市人防工程质量监督站办理人防工程质量监督委托，同时按照规定缴纳质量监督费和设计图审查费。</w:t>
      </w:r>
    </w:p>
    <w:p>
      <w:pPr>
        <w:spacing w:line="576" w:lineRule="exact"/>
        <w:ind w:firstLine="640"/>
        <w:rPr>
          <w:sz w:val="32"/>
          <w:szCs w:val="32"/>
        </w:rPr>
      </w:pPr>
      <w:r>
        <w:rPr>
          <w:rFonts w:hint="eastAsia" w:ascii="黑体" w:eastAsia="黑体"/>
          <w:sz w:val="32"/>
          <w:szCs w:val="32"/>
        </w:rPr>
        <w:t>第九条　</w:t>
      </w:r>
      <w:r>
        <w:rPr>
          <w:rFonts w:hint="eastAsia"/>
          <w:sz w:val="32"/>
          <w:szCs w:val="32"/>
        </w:rPr>
        <w:t>人防工程的施工单位必须严格按照《人防工程施工及验收规范》及有关规范进行施工，保证工程质量。</w:t>
      </w:r>
    </w:p>
    <w:p>
      <w:pPr>
        <w:spacing w:line="576" w:lineRule="exact"/>
        <w:ind w:firstLine="640"/>
        <w:rPr>
          <w:sz w:val="32"/>
          <w:szCs w:val="32"/>
        </w:rPr>
      </w:pPr>
      <w:r>
        <w:rPr>
          <w:rFonts w:hint="eastAsia"/>
          <w:sz w:val="32"/>
          <w:szCs w:val="32"/>
        </w:rPr>
        <w:t>施工单位必须接受质量监督部门对其施工质量的监督检查，并按其意见实施。</w:t>
      </w:r>
    </w:p>
    <w:p>
      <w:pPr>
        <w:spacing w:line="576" w:lineRule="exact"/>
        <w:ind w:firstLine="640"/>
        <w:rPr>
          <w:sz w:val="32"/>
          <w:szCs w:val="32"/>
        </w:rPr>
      </w:pPr>
      <w:r>
        <w:rPr>
          <w:rFonts w:hint="eastAsia" w:ascii="黑体" w:eastAsia="黑体"/>
          <w:sz w:val="32"/>
          <w:szCs w:val="32"/>
        </w:rPr>
        <w:t>第十条　</w:t>
      </w:r>
      <w:r>
        <w:rPr>
          <w:rFonts w:hint="eastAsia"/>
          <w:sz w:val="32"/>
          <w:szCs w:val="32"/>
        </w:rPr>
        <w:t>防空地下室孔口设置的防护密闭门、密闭门及防爆波活门等防护设施，均由国家定点人防构件生产单位统一加工、安装。其费用由建设单位承担。</w:t>
      </w:r>
    </w:p>
    <w:p>
      <w:pPr>
        <w:spacing w:line="576" w:lineRule="exact"/>
        <w:ind w:firstLine="640"/>
        <w:rPr>
          <w:sz w:val="32"/>
          <w:szCs w:val="32"/>
        </w:rPr>
      </w:pPr>
      <w:r>
        <w:rPr>
          <w:rFonts w:hint="eastAsia" w:ascii="黑体" w:eastAsia="黑体"/>
          <w:sz w:val="32"/>
          <w:szCs w:val="32"/>
        </w:rPr>
        <w:t>第十一条　</w:t>
      </w:r>
      <w:r>
        <w:rPr>
          <w:rFonts w:hint="eastAsia"/>
          <w:sz w:val="32"/>
          <w:szCs w:val="32"/>
        </w:rPr>
        <w:t>人防工程竣工验收应当同地面工程同步进行。由建设单位组织，市人防质量监督站监督验收，验收执行《人防工程质量检验评定标准》。</w:t>
      </w:r>
    </w:p>
    <w:p>
      <w:pPr>
        <w:spacing w:line="576" w:lineRule="exact"/>
        <w:ind w:firstLine="640"/>
        <w:rPr>
          <w:sz w:val="32"/>
          <w:szCs w:val="32"/>
        </w:rPr>
      </w:pPr>
      <w:r>
        <w:rPr>
          <w:rFonts w:hint="eastAsia" w:ascii="黑体" w:eastAsia="黑体"/>
          <w:sz w:val="32"/>
          <w:szCs w:val="32"/>
        </w:rPr>
        <w:t>第十二条　</w:t>
      </w:r>
      <w:r>
        <w:rPr>
          <w:rFonts w:hint="eastAsia"/>
          <w:sz w:val="32"/>
          <w:szCs w:val="32"/>
        </w:rPr>
        <w:t>应当建设人防工程而未立项或者立项不建的，必须补建。补建不具备条件的，必须按照现行造价缴纳易地建设费。</w:t>
      </w:r>
    </w:p>
    <w:p>
      <w:pPr>
        <w:spacing w:line="576" w:lineRule="exact"/>
        <w:ind w:firstLine="640"/>
        <w:rPr>
          <w:sz w:val="32"/>
          <w:szCs w:val="32"/>
        </w:rPr>
      </w:pPr>
      <w:r>
        <w:rPr>
          <w:rFonts w:hint="eastAsia" w:ascii="黑体" w:eastAsia="黑体"/>
          <w:sz w:val="32"/>
          <w:szCs w:val="32"/>
        </w:rPr>
        <w:t>第十三条　</w:t>
      </w:r>
      <w:r>
        <w:rPr>
          <w:rFonts w:hint="eastAsia"/>
          <w:sz w:val="32"/>
          <w:szCs w:val="32"/>
        </w:rPr>
        <w:t>凡施工图设计文件未经审查或者审查不合格，擅自施工的，按照《建设工程质量管理条例》第五十六条第（四）项的规定，对建设单位进行处罚。</w:t>
      </w:r>
    </w:p>
    <w:p>
      <w:pPr>
        <w:spacing w:line="576" w:lineRule="exact"/>
        <w:ind w:firstLine="640"/>
        <w:rPr>
          <w:sz w:val="32"/>
          <w:szCs w:val="32"/>
        </w:rPr>
      </w:pPr>
      <w:r>
        <w:rPr>
          <w:rFonts w:hint="eastAsia" w:ascii="黑体" w:eastAsia="黑体"/>
          <w:sz w:val="32"/>
          <w:szCs w:val="32"/>
        </w:rPr>
        <w:t>第十四条</w:t>
      </w:r>
      <w:r>
        <w:rPr>
          <w:rFonts w:hint="eastAsia"/>
          <w:sz w:val="32"/>
          <w:szCs w:val="32"/>
        </w:rPr>
        <w:t>　凡设计单位未按照工程强制性标准及有关规范、规程和人防质量监督站签发的初步设计、施工图审批意见进行设计而造成工程施工损失的，按照《建设工程质量管理条例》第六十三条第（四）项的规定，对设计单位进行处罚。</w:t>
      </w:r>
    </w:p>
    <w:p>
      <w:pPr>
        <w:spacing w:line="576" w:lineRule="exact"/>
        <w:ind w:firstLine="640"/>
        <w:rPr>
          <w:sz w:val="32"/>
          <w:szCs w:val="32"/>
        </w:rPr>
      </w:pPr>
      <w:r>
        <w:rPr>
          <w:rFonts w:hint="eastAsia" w:ascii="黑体" w:eastAsia="黑体"/>
          <w:sz w:val="32"/>
          <w:szCs w:val="32"/>
        </w:rPr>
        <w:t>第十五条</w:t>
      </w:r>
      <w:r>
        <w:rPr>
          <w:rFonts w:hint="eastAsia"/>
          <w:sz w:val="32"/>
          <w:szCs w:val="32"/>
        </w:rPr>
        <w:t>　凡人防工程未经验收而投入使用的，责令其履行竣工验收手续，并按照《建设工程质量管理条例》第五十八条第（一）项的规定，对建设单位进行处罚。</w:t>
      </w:r>
    </w:p>
    <w:p>
      <w:pPr>
        <w:spacing w:line="576" w:lineRule="exact"/>
        <w:ind w:firstLine="640"/>
        <w:rPr>
          <w:sz w:val="32"/>
          <w:szCs w:val="32"/>
        </w:rPr>
      </w:pPr>
      <w:r>
        <w:rPr>
          <w:rFonts w:hint="eastAsia" w:ascii="黑体" w:eastAsia="黑体"/>
          <w:sz w:val="32"/>
          <w:szCs w:val="32"/>
        </w:rPr>
        <w:t>第十六条　</w:t>
      </w:r>
      <w:r>
        <w:rPr>
          <w:rFonts w:hint="eastAsia"/>
          <w:sz w:val="32"/>
          <w:szCs w:val="32"/>
        </w:rPr>
        <w:t>施工单位不按施工图施工，违反施工技术标准、规范、规程造成工程质量事故的，按照《建设工程质量管理条例》第六十四条的规定进行处罚。</w:t>
      </w:r>
    </w:p>
    <w:p>
      <w:pPr>
        <w:spacing w:line="576" w:lineRule="exact"/>
        <w:ind w:firstLine="640"/>
        <w:rPr>
          <w:sz w:val="32"/>
          <w:szCs w:val="32"/>
        </w:rPr>
      </w:pPr>
      <w:r>
        <w:rPr>
          <w:rFonts w:hint="eastAsia" w:ascii="黑体" w:eastAsia="黑体"/>
          <w:sz w:val="32"/>
          <w:szCs w:val="32"/>
        </w:rPr>
        <w:t>第十七条　</w:t>
      </w:r>
      <w:r>
        <w:rPr>
          <w:rFonts w:hint="eastAsia"/>
          <w:sz w:val="32"/>
          <w:szCs w:val="32"/>
        </w:rPr>
        <w:t>执法部门应当使用财政部门统一印制的罚款票据，所有罚款收入上缴财政部门。</w:t>
      </w:r>
    </w:p>
    <w:p>
      <w:pPr>
        <w:spacing w:line="576" w:lineRule="exact"/>
        <w:ind w:firstLine="640"/>
        <w:rPr>
          <w:sz w:val="32"/>
          <w:szCs w:val="32"/>
        </w:rPr>
      </w:pPr>
      <w:r>
        <w:rPr>
          <w:rFonts w:hint="eastAsia" w:ascii="黑体" w:eastAsia="黑体"/>
          <w:sz w:val="32"/>
          <w:szCs w:val="32"/>
        </w:rPr>
        <w:t>第十八条　</w:t>
      </w:r>
      <w:r>
        <w:rPr>
          <w:rFonts w:hint="eastAsia"/>
          <w:sz w:val="32"/>
          <w:szCs w:val="32"/>
        </w:rPr>
        <w:t>当事人对处罚决定不服的，可以依法申请行政复议和提起行政诉讼。当事人逾期不申请复议，不提起行政诉讼，又不履行处罚决定的，由作出处罚决定的机关申请人民法院强制执行。</w:t>
      </w:r>
    </w:p>
    <w:p>
      <w:pPr>
        <w:spacing w:line="576" w:lineRule="exact"/>
        <w:ind w:firstLine="640"/>
        <w:rPr>
          <w:sz w:val="32"/>
          <w:szCs w:val="32"/>
        </w:rPr>
      </w:pPr>
      <w:r>
        <w:rPr>
          <w:rFonts w:hint="eastAsia" w:ascii="黑体" w:eastAsia="黑体"/>
          <w:sz w:val="32"/>
          <w:szCs w:val="32"/>
        </w:rPr>
        <w:t>第十九条</w:t>
      </w:r>
      <w:r>
        <w:rPr>
          <w:rFonts w:hint="eastAsia"/>
          <w:sz w:val="32"/>
          <w:szCs w:val="32"/>
        </w:rPr>
        <w:t>　人防工程质量监督管理人员应当秉公执法，对玩忽职守、滥用职权、徇私舞弊的，由其所在单位或者上级主管机关给予行政处分；构成犯罪的，依法追究刑事责任。</w:t>
      </w:r>
    </w:p>
    <w:p>
      <w:pPr>
        <w:spacing w:line="576" w:lineRule="exact"/>
        <w:ind w:firstLine="640"/>
        <w:rPr>
          <w:sz w:val="32"/>
          <w:szCs w:val="32"/>
        </w:rPr>
      </w:pPr>
      <w:r>
        <w:rPr>
          <w:rFonts w:hint="eastAsia" w:ascii="黑体" w:eastAsia="黑体"/>
          <w:sz w:val="32"/>
          <w:szCs w:val="32"/>
        </w:rPr>
        <w:t>第二十条　</w:t>
      </w:r>
      <w:r>
        <w:rPr>
          <w:rFonts w:hint="eastAsia"/>
          <w:sz w:val="32"/>
          <w:szCs w:val="32"/>
        </w:rPr>
        <w:t>本规定自2006年10月1日起施行。1994年11月15日公布施行的《沈阳市人民防空工程质量监督管理规定》（沈政发〔1994〕46号）同时废止。</w:t>
      </w:r>
    </w:p>
    <w:p>
      <w:pPr>
        <w:spacing w:line="566" w:lineRule="exact"/>
        <w:ind w:firstLine="640"/>
        <w:rPr>
          <w:sz w:val="32"/>
          <w:szCs w:val="32"/>
        </w:rPr>
      </w:pPr>
    </w:p>
    <w:p>
      <w:pPr>
        <w:spacing w:line="240" w:lineRule="auto"/>
        <w:ind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B0EDA"/>
    <w:rsid w:val="006C2C14"/>
    <w:rsid w:val="006D58CA"/>
    <w:rsid w:val="00993565"/>
    <w:rsid w:val="00C063FB"/>
    <w:rsid w:val="00D727F8"/>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C9011D9"/>
    <w:rsid w:val="7DC651C5"/>
    <w:rsid w:val="7FCC2834"/>
    <w:rsid w:val="F3FDE962"/>
    <w:rsid w:val="FBEF646C"/>
    <w:rsid w:val="FDE1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296</Words>
  <Characters>1691</Characters>
  <Lines>14</Lines>
  <Paragraphs>3</Paragraphs>
  <TotalTime>0</TotalTime>
  <ScaleCrop>false</ScaleCrop>
  <LinksUpToDate>false</LinksUpToDate>
  <CharactersWithSpaces>1984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2024-08-30T11:47:20Z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