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1455"/>
        <w:gridCol w:w="2700"/>
        <w:gridCol w:w="4669"/>
        <w:gridCol w:w="3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4055" w:type="dxa"/>
            <w:gridSpan w:val="6"/>
            <w:tcBorders>
              <w:top w:val="nil"/>
              <w:left w:val="nil"/>
              <w:bottom w:val="nil"/>
              <w:right w:val="nil"/>
              <w:tl2br w:val="nil"/>
              <w:tr2bl w:val="nil"/>
            </w:tcBorders>
            <w:noWrap w:val="0"/>
            <w:vAlign w:val="top"/>
          </w:tcPr>
          <w:p>
            <w:pPr>
              <w:spacing w:beforeLines="0" w:afterLines="0"/>
              <w:rPr>
                <w:rFonts w:hint="eastAsia" w:ascii="黑体" w:hAnsi="宋体" w:eastAsia="黑体"/>
                <w:kern w:val="0"/>
                <w:sz w:val="32"/>
              </w:rPr>
            </w:pPr>
            <w:bookmarkStart w:id="0" w:name="_GoBack" w:colFirst="0" w:colLast="5"/>
            <w:r>
              <w:rPr>
                <w:rFonts w:hint="eastAsia" w:ascii="黑体" w:hAnsi="宋体" w:eastAsia="黑体"/>
                <w:kern w:val="0"/>
                <w:sz w:val="32"/>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055" w:type="dxa"/>
            <w:gridSpan w:val="6"/>
            <w:tcBorders>
              <w:top w:val="nil"/>
              <w:left w:val="nil"/>
              <w:bottom w:val="single" w:color="auto" w:sz="8" w:space="0"/>
              <w:right w:val="nil"/>
              <w:tl2br w:val="nil"/>
              <w:tr2bl w:val="nil"/>
            </w:tcBorders>
            <w:noWrap w:val="0"/>
            <w:vAlign w:val="top"/>
          </w:tcPr>
          <w:p>
            <w:pPr>
              <w:widowControl/>
              <w:spacing w:beforeLines="0" w:afterLines="0"/>
              <w:jc w:val="center"/>
              <w:rPr>
                <w:rFonts w:hint="default"/>
                <w:b/>
                <w:kern w:val="0"/>
                <w:sz w:val="44"/>
              </w:rPr>
            </w:pPr>
            <w:r>
              <w:rPr>
                <w:rFonts w:hint="eastAsia" w:ascii="宋体" w:hAnsi="宋体"/>
                <w:b/>
                <w:kern w:val="0"/>
                <w:sz w:val="44"/>
              </w:rPr>
              <w:t>2019年沈阳市本级涉企政府性基金目录清单</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auto" w:sz="8" w:space="0"/>
              <w:bottom w:val="single" w:color="auto" w:sz="8" w:space="0"/>
              <w:right w:val="single" w:color="auto" w:sz="8" w:space="0"/>
              <w:tl2br w:val="nil"/>
              <w:tr2bl w:val="nil"/>
            </w:tcBorders>
            <w:noWrap w:val="0"/>
            <w:vAlign w:val="bottom"/>
          </w:tcPr>
          <w:p>
            <w:pPr>
              <w:widowControl/>
              <w:spacing w:beforeLines="0" w:afterLines="0"/>
              <w:jc w:val="center"/>
              <w:rPr>
                <w:rFonts w:hint="default"/>
                <w:b/>
                <w:kern w:val="0"/>
                <w:sz w:val="18"/>
              </w:rPr>
            </w:pPr>
            <w:r>
              <w:rPr>
                <w:rFonts w:hint="eastAsia" w:ascii="宋体" w:hAnsi="宋体"/>
                <w:b/>
                <w:kern w:val="0"/>
                <w:sz w:val="18"/>
              </w:rPr>
              <w:t>序</w:t>
            </w:r>
            <w:r>
              <w:rPr>
                <w:rFonts w:hint="default"/>
                <w:b/>
                <w:kern w:val="0"/>
                <w:sz w:val="18"/>
              </w:rPr>
              <w:t> </w:t>
            </w:r>
            <w:r>
              <w:rPr>
                <w:rFonts w:hint="eastAsia" w:ascii="宋体" w:hAnsi="宋体"/>
                <w:b/>
                <w:kern w:val="0"/>
                <w:sz w:val="18"/>
              </w:rPr>
              <w:t>号</w:t>
            </w:r>
          </w:p>
        </w:tc>
        <w:tc>
          <w:tcPr>
            <w:tcW w:w="1080" w:type="dxa"/>
            <w:tcBorders>
              <w:top w:val="nil"/>
              <w:left w:val="nil"/>
              <w:bottom w:val="single" w:color="auto" w:sz="8" w:space="0"/>
              <w:right w:val="single" w:color="auto" w:sz="8" w:space="0"/>
              <w:tl2br w:val="nil"/>
              <w:tr2bl w:val="nil"/>
            </w:tcBorders>
            <w:noWrap w:val="0"/>
            <w:vAlign w:val="bottom"/>
          </w:tcPr>
          <w:p>
            <w:pPr>
              <w:widowControl/>
              <w:spacing w:beforeLines="0" w:afterLines="0"/>
              <w:jc w:val="center"/>
              <w:rPr>
                <w:rFonts w:hint="default"/>
                <w:b/>
                <w:kern w:val="0"/>
                <w:sz w:val="18"/>
              </w:rPr>
            </w:pPr>
            <w:r>
              <w:rPr>
                <w:rFonts w:hint="eastAsia" w:ascii="宋体" w:hAnsi="宋体"/>
                <w:b/>
                <w:kern w:val="0"/>
                <w:sz w:val="18"/>
              </w:rPr>
              <w:t>征收部门</w:t>
            </w:r>
          </w:p>
        </w:tc>
        <w:tc>
          <w:tcPr>
            <w:tcW w:w="1455" w:type="dxa"/>
            <w:tcBorders>
              <w:top w:val="nil"/>
              <w:left w:val="nil"/>
              <w:bottom w:val="single" w:color="auto" w:sz="8" w:space="0"/>
              <w:right w:val="single" w:color="auto" w:sz="8" w:space="0"/>
              <w:tl2br w:val="nil"/>
              <w:tr2bl w:val="nil"/>
            </w:tcBorders>
            <w:noWrap w:val="0"/>
            <w:vAlign w:val="bottom"/>
          </w:tcPr>
          <w:p>
            <w:pPr>
              <w:widowControl/>
              <w:spacing w:beforeLines="0" w:afterLines="0"/>
              <w:jc w:val="center"/>
              <w:rPr>
                <w:rFonts w:hint="default"/>
                <w:b/>
                <w:kern w:val="0"/>
                <w:sz w:val="18"/>
              </w:rPr>
            </w:pPr>
            <w:r>
              <w:rPr>
                <w:rFonts w:hint="eastAsia" w:ascii="宋体" w:hAnsi="宋体"/>
                <w:b/>
                <w:kern w:val="0"/>
                <w:sz w:val="18"/>
              </w:rPr>
              <w:t>项</w:t>
            </w:r>
            <w:r>
              <w:rPr>
                <w:rFonts w:hint="default"/>
                <w:b/>
                <w:kern w:val="0"/>
                <w:sz w:val="18"/>
              </w:rPr>
              <w:t> </w:t>
            </w:r>
            <w:r>
              <w:rPr>
                <w:rFonts w:hint="eastAsia" w:ascii="宋体" w:hAnsi="宋体"/>
                <w:b/>
                <w:kern w:val="0"/>
                <w:sz w:val="18"/>
              </w:rPr>
              <w:t>目</w:t>
            </w:r>
            <w:r>
              <w:rPr>
                <w:rFonts w:hint="default"/>
                <w:b/>
                <w:kern w:val="0"/>
                <w:sz w:val="18"/>
              </w:rPr>
              <w:t> </w:t>
            </w:r>
            <w:r>
              <w:rPr>
                <w:rFonts w:hint="eastAsia" w:ascii="宋体" w:hAnsi="宋体"/>
                <w:b/>
                <w:kern w:val="0"/>
                <w:sz w:val="18"/>
              </w:rPr>
              <w:t>名</w:t>
            </w:r>
            <w:r>
              <w:rPr>
                <w:rFonts w:hint="default"/>
                <w:b/>
                <w:kern w:val="0"/>
                <w:sz w:val="18"/>
              </w:rPr>
              <w:t> </w:t>
            </w:r>
            <w:r>
              <w:rPr>
                <w:rFonts w:hint="eastAsia" w:ascii="宋体" w:hAnsi="宋体"/>
                <w:b/>
                <w:kern w:val="0"/>
                <w:sz w:val="18"/>
              </w:rPr>
              <w:t>称</w:t>
            </w:r>
          </w:p>
        </w:tc>
        <w:tc>
          <w:tcPr>
            <w:tcW w:w="2700" w:type="dxa"/>
            <w:tcBorders>
              <w:top w:val="nil"/>
              <w:left w:val="nil"/>
              <w:bottom w:val="single" w:color="auto" w:sz="8" w:space="0"/>
              <w:right w:val="single" w:color="auto" w:sz="8" w:space="0"/>
              <w:tl2br w:val="nil"/>
              <w:tr2bl w:val="nil"/>
            </w:tcBorders>
            <w:noWrap w:val="0"/>
            <w:vAlign w:val="bottom"/>
          </w:tcPr>
          <w:p>
            <w:pPr>
              <w:widowControl/>
              <w:spacing w:beforeLines="0" w:afterLines="0"/>
              <w:jc w:val="center"/>
              <w:rPr>
                <w:rFonts w:hint="default"/>
                <w:b/>
                <w:kern w:val="0"/>
                <w:sz w:val="18"/>
              </w:rPr>
            </w:pPr>
            <w:r>
              <w:rPr>
                <w:rFonts w:hint="eastAsia" w:ascii="宋体" w:hAnsi="宋体"/>
                <w:b/>
                <w:kern w:val="0"/>
                <w:sz w:val="18"/>
              </w:rPr>
              <w:t>收费标准</w:t>
            </w:r>
          </w:p>
        </w:tc>
        <w:tc>
          <w:tcPr>
            <w:tcW w:w="4669" w:type="dxa"/>
            <w:tcBorders>
              <w:top w:val="nil"/>
              <w:left w:val="nil"/>
              <w:bottom w:val="single" w:color="auto" w:sz="8" w:space="0"/>
              <w:right w:val="single" w:color="auto" w:sz="8" w:space="0"/>
              <w:tl2br w:val="nil"/>
              <w:tr2bl w:val="nil"/>
            </w:tcBorders>
            <w:noWrap w:val="0"/>
            <w:vAlign w:val="bottom"/>
          </w:tcPr>
          <w:p>
            <w:pPr>
              <w:widowControl/>
              <w:spacing w:beforeLines="0" w:afterLines="0"/>
              <w:jc w:val="center"/>
              <w:rPr>
                <w:rFonts w:hint="default"/>
                <w:b/>
                <w:kern w:val="0"/>
                <w:sz w:val="18"/>
              </w:rPr>
            </w:pPr>
            <w:r>
              <w:rPr>
                <w:rFonts w:hint="eastAsia" w:ascii="宋体" w:hAnsi="宋体"/>
                <w:b/>
                <w:kern w:val="0"/>
                <w:sz w:val="18"/>
              </w:rPr>
              <w:t>政策依据</w:t>
            </w:r>
          </w:p>
        </w:tc>
        <w:tc>
          <w:tcPr>
            <w:tcW w:w="3071" w:type="dxa"/>
            <w:tcBorders>
              <w:top w:val="nil"/>
              <w:left w:val="nil"/>
              <w:bottom w:val="single" w:color="auto" w:sz="8" w:space="0"/>
              <w:right w:val="single" w:color="auto" w:sz="8" w:space="0"/>
              <w:tl2br w:val="nil"/>
              <w:tr2bl w:val="nil"/>
            </w:tcBorders>
            <w:noWrap w:val="0"/>
            <w:vAlign w:val="bottom"/>
          </w:tcPr>
          <w:p>
            <w:pPr>
              <w:widowControl/>
              <w:spacing w:beforeLines="0" w:afterLines="0"/>
              <w:jc w:val="center"/>
              <w:rPr>
                <w:rFonts w:hint="default"/>
                <w:b/>
                <w:kern w:val="0"/>
                <w:sz w:val="18"/>
              </w:rPr>
            </w:pPr>
            <w:r>
              <w:rPr>
                <w:rFonts w:hint="eastAsia" w:ascii="宋体" w:hAnsi="宋体"/>
                <w:b/>
                <w:kern w:val="0"/>
                <w:sz w:val="18"/>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080" w:type="dxa"/>
            <w:tcBorders>
              <w:top w:val="nil"/>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b/>
                <w:kern w:val="0"/>
                <w:sz w:val="18"/>
              </w:rPr>
            </w:pPr>
            <w:r>
              <w:rPr>
                <w:rFonts w:hint="eastAsia" w:ascii="仿宋_GB2312" w:hAnsi="宋体" w:eastAsia="仿宋_GB2312"/>
                <w:b/>
                <w:kern w:val="0"/>
                <w:sz w:val="18"/>
              </w:rPr>
              <w:t>1</w:t>
            </w:r>
          </w:p>
        </w:tc>
        <w:tc>
          <w:tcPr>
            <w:tcW w:w="1080"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b/>
                <w:kern w:val="0"/>
                <w:sz w:val="18"/>
              </w:rPr>
            </w:pPr>
            <w:r>
              <w:rPr>
                <w:rFonts w:hint="eastAsia" w:ascii="仿宋_GB2312" w:hAnsi="宋体" w:eastAsia="仿宋_GB2312"/>
                <w:b/>
                <w:kern w:val="0"/>
                <w:sz w:val="18"/>
              </w:rPr>
              <w:t>自然资源</w:t>
            </w:r>
          </w:p>
        </w:tc>
        <w:tc>
          <w:tcPr>
            <w:tcW w:w="1455"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城市基础设施配套费</w:t>
            </w:r>
          </w:p>
        </w:tc>
        <w:tc>
          <w:tcPr>
            <w:tcW w:w="2700"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住宅：按实际建筑面积134元/平方米;公建：按实际建筑面积99元/平方米；工业：按实际建筑面积60元/平方米</w:t>
            </w:r>
          </w:p>
        </w:tc>
        <w:tc>
          <w:tcPr>
            <w:tcW w:w="4669" w:type="dxa"/>
            <w:tcBorders>
              <w:top w:val="nil"/>
              <w:left w:val="nil"/>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r>
              <w:rPr>
                <w:rFonts w:hint="eastAsia" w:ascii="仿宋_GB2312" w:hAnsi="宋体" w:eastAsia="仿宋_GB2312"/>
                <w:kern w:val="0"/>
                <w:sz w:val="18"/>
              </w:rPr>
              <w:t>计价格〔2001〕585号，财综函〔2002〕3号，</w:t>
            </w:r>
            <w:r>
              <w:rPr>
                <w:rFonts w:hint="eastAsia" w:ascii="仿宋_GB2312" w:hAnsi="宋体" w:eastAsia="仿宋_GB2312"/>
                <w:color w:val="FF0000"/>
                <w:kern w:val="0"/>
                <w:sz w:val="18"/>
              </w:rPr>
              <w:t>财税〔2019〕53号，</w:t>
            </w:r>
            <w:r>
              <w:rPr>
                <w:rFonts w:hint="eastAsia" w:ascii="仿宋_GB2312" w:hAnsi="宋体" w:eastAsia="仿宋_GB2312"/>
                <w:kern w:val="0"/>
                <w:sz w:val="18"/>
              </w:rPr>
              <w:t>按财综〔2010〕54号文件规定，对中小学校“校舍安全工程”予以免征，辽财非〔2010〕950号。按沈房发〔2014〕41号，对保障性住房免收。按沈委发〔2017〕29号，免征工业及生产服务业投资项目城市基础设施配套费。</w:t>
            </w:r>
            <w:r>
              <w:rPr>
                <w:rFonts w:hint="eastAsia" w:ascii="仿宋_GB2312" w:hAnsi="宋体" w:eastAsia="仿宋_GB2312"/>
                <w:color w:val="FF0000"/>
                <w:kern w:val="0"/>
                <w:sz w:val="18"/>
              </w:rPr>
              <w:t>按财税〔2019〕53号规定，对易地扶贫搬迁项目免征城市基础设施配套费。</w:t>
            </w:r>
          </w:p>
        </w:tc>
        <w:tc>
          <w:tcPr>
            <w:tcW w:w="3071"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22973162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80" w:type="dxa"/>
            <w:tcBorders>
              <w:top w:val="nil"/>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b/>
                <w:kern w:val="0"/>
                <w:sz w:val="18"/>
              </w:rPr>
            </w:pPr>
            <w:r>
              <w:rPr>
                <w:rFonts w:hint="eastAsia" w:ascii="仿宋_GB2312" w:hAnsi="宋体" w:eastAsia="仿宋_GB2312"/>
                <w:b/>
                <w:kern w:val="0"/>
                <w:sz w:val="18"/>
              </w:rPr>
              <w:t>2</w:t>
            </w:r>
          </w:p>
        </w:tc>
        <w:tc>
          <w:tcPr>
            <w:tcW w:w="1080" w:type="dxa"/>
            <w:tcBorders>
              <w:top w:val="nil"/>
              <w:left w:val="single" w:color="auto" w:sz="8" w:space="0"/>
              <w:bottom w:val="single" w:color="000000"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b/>
                <w:kern w:val="0"/>
                <w:sz w:val="18"/>
              </w:rPr>
            </w:pPr>
            <w:r>
              <w:rPr>
                <w:rFonts w:hint="eastAsia" w:ascii="仿宋_GB2312" w:hAnsi="宋体" w:eastAsia="仿宋_GB2312"/>
                <w:b/>
                <w:kern w:val="0"/>
                <w:sz w:val="18"/>
              </w:rPr>
              <w:t>自然资源</w:t>
            </w:r>
          </w:p>
        </w:tc>
        <w:tc>
          <w:tcPr>
            <w:tcW w:w="1455"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森林植被恢复费</w:t>
            </w:r>
          </w:p>
        </w:tc>
        <w:tc>
          <w:tcPr>
            <w:tcW w:w="2700" w:type="dxa"/>
            <w:tcBorders>
              <w:top w:val="nil"/>
              <w:left w:val="nil"/>
              <w:bottom w:val="single" w:color="auto" w:sz="8" w:space="0"/>
              <w:right w:val="single" w:color="000000"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r>
              <w:rPr>
                <w:rFonts w:hint="eastAsia" w:ascii="仿宋_GB2312" w:hAnsi="宋体" w:eastAsia="仿宋_GB2312"/>
                <w:kern w:val="0"/>
                <w:sz w:val="18"/>
              </w:rPr>
              <w:t>(一）郁闭度0.2以上的乔木林地（含采伐迹地、火烧迹地、经济林地）、苗圃地，10元/平方米；灌木林地、疏林地、未成林造林地，6元/平方米；宜林地，3元/平方米；(二）国家和省级公益林林地，按照第（一）款规定征收标准2倍征收；（三）城市规划区的林地，按照第（一）、（二）款规定征收标准2倍征收；（四）城市规划区外的林地，按占用征收林地建设项目性质实行不同征收标准。</w:t>
            </w:r>
          </w:p>
        </w:tc>
        <w:tc>
          <w:tcPr>
            <w:tcW w:w="4669" w:type="dxa"/>
            <w:tcBorders>
              <w:top w:val="nil"/>
              <w:left w:val="nil"/>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r>
              <w:rPr>
                <w:rFonts w:hint="eastAsia" w:ascii="仿宋_GB2312" w:hAnsi="宋体" w:eastAsia="仿宋_GB2312"/>
                <w:kern w:val="0"/>
                <w:sz w:val="18"/>
              </w:rPr>
              <w:t>《森林法》，财综〔2002〕73号，财税〔2015〕122号、辽财综〔2003〕152号，辽财非〔2006〕913号，辽财非〔2016〕191号。按财综〔2010〕54号文件规定，对中小学校“校舍安全工程”予以免征</w:t>
            </w:r>
          </w:p>
        </w:tc>
        <w:tc>
          <w:tcPr>
            <w:tcW w:w="3071"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88922032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80" w:type="dxa"/>
            <w:tcBorders>
              <w:top w:val="nil"/>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b/>
                <w:kern w:val="0"/>
                <w:sz w:val="18"/>
              </w:rPr>
            </w:pPr>
            <w:r>
              <w:rPr>
                <w:rFonts w:hint="eastAsia" w:ascii="仿宋_GB2312" w:hAnsi="宋体" w:eastAsia="仿宋_GB2312"/>
                <w:b/>
                <w:kern w:val="0"/>
                <w:sz w:val="18"/>
              </w:rPr>
              <w:t>3</w:t>
            </w:r>
          </w:p>
        </w:tc>
        <w:tc>
          <w:tcPr>
            <w:tcW w:w="1080" w:type="dxa"/>
            <w:vMerge w:val="restart"/>
            <w:tcBorders>
              <w:top w:val="nil"/>
              <w:left w:val="single" w:color="auto" w:sz="8" w:space="0"/>
              <w:bottom w:val="single" w:color="000000"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b/>
                <w:kern w:val="0"/>
                <w:sz w:val="18"/>
              </w:rPr>
            </w:pPr>
            <w:r>
              <w:rPr>
                <w:rFonts w:hint="eastAsia" w:ascii="仿宋_GB2312" w:hAnsi="宋体" w:eastAsia="仿宋_GB2312"/>
                <w:b/>
                <w:kern w:val="0"/>
                <w:sz w:val="18"/>
              </w:rPr>
              <w:t>税务</w:t>
            </w:r>
          </w:p>
        </w:tc>
        <w:tc>
          <w:tcPr>
            <w:tcW w:w="1455"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教育费附加</w:t>
            </w:r>
          </w:p>
        </w:tc>
        <w:tc>
          <w:tcPr>
            <w:tcW w:w="2700" w:type="dxa"/>
            <w:tcBorders>
              <w:top w:val="nil"/>
              <w:left w:val="nil"/>
              <w:bottom w:val="single" w:color="auto" w:sz="8" w:space="0"/>
              <w:right w:val="single" w:color="000000" w:sz="8" w:space="0"/>
              <w:tl2br w:val="nil"/>
              <w:tr2bl w:val="nil"/>
            </w:tcBorders>
            <w:noWrap w:val="0"/>
            <w:vAlign w:val="center"/>
          </w:tcPr>
          <w:p>
            <w:pPr>
              <w:widowControl/>
              <w:spacing w:beforeLines="0" w:afterLines="0"/>
              <w:jc w:val="left"/>
              <w:rPr>
                <w:rFonts w:hint="eastAsia" w:ascii="仿宋_GB2312" w:hAnsi="宋体" w:eastAsia="仿宋_GB2312"/>
                <w:kern w:val="0"/>
                <w:sz w:val="18"/>
              </w:rPr>
            </w:pPr>
            <w:r>
              <w:rPr>
                <w:rFonts w:hint="eastAsia" w:ascii="仿宋_GB2312" w:hAnsi="宋体" w:eastAsia="仿宋_GB2312"/>
                <w:kern w:val="0"/>
                <w:sz w:val="18"/>
              </w:rPr>
              <w:t>纳税人实际缴纳增值税、营业税、消费税税额的3%</w:t>
            </w:r>
          </w:p>
        </w:tc>
        <w:tc>
          <w:tcPr>
            <w:tcW w:w="4669" w:type="dxa"/>
            <w:tcBorders>
              <w:top w:val="nil"/>
              <w:left w:val="nil"/>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r>
              <w:rPr>
                <w:rFonts w:hint="eastAsia" w:ascii="仿宋_GB2312" w:hAnsi="宋体" w:eastAsia="仿宋_GB2312"/>
                <w:kern w:val="0"/>
                <w:sz w:val="18"/>
              </w:rPr>
              <w:t>《教育法》，国务院令第60号，国发〔1986〕50号、448号，国发明电〔1994〕2号、23号，财综函〔2003〕2号，国发〔2010〕35号，财税〔2010〕103号,辽教委字〔1993〕23号，辽地税行〔1998〕275号。按财综〔2010〕54号文件规定，对中小学校“校舍安全工程”予以免征，按沈房发〔2014〕41号，对保障性住房免收。</w:t>
            </w:r>
            <w:r>
              <w:rPr>
                <w:rFonts w:hint="eastAsia" w:ascii="仿宋_GB2312" w:hAnsi="宋体" w:eastAsia="仿宋_GB2312"/>
                <w:color w:val="FF0000"/>
                <w:kern w:val="0"/>
                <w:sz w:val="18"/>
              </w:rPr>
              <w:t>辽财税〔2019〕229号。按辽财税〔2019〕229号文件规定，对纳入产教融合产业企业建设培育范围的试点企业抵免教育费附加。</w:t>
            </w:r>
          </w:p>
        </w:tc>
        <w:tc>
          <w:tcPr>
            <w:tcW w:w="3071"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12366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1" w:hRule="atLeast"/>
        </w:trPr>
        <w:tc>
          <w:tcPr>
            <w:tcW w:w="1080" w:type="dxa"/>
            <w:tcBorders>
              <w:top w:val="single" w:color="auto" w:sz="8" w:space="0"/>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b/>
                <w:kern w:val="0"/>
                <w:sz w:val="18"/>
              </w:rPr>
            </w:pPr>
            <w:r>
              <w:rPr>
                <w:rFonts w:hint="eastAsia" w:ascii="仿宋_GB2312" w:hAnsi="宋体" w:eastAsia="仿宋_GB2312"/>
                <w:b/>
                <w:kern w:val="0"/>
                <w:sz w:val="18"/>
              </w:rPr>
              <w:t>4</w:t>
            </w:r>
          </w:p>
        </w:tc>
        <w:tc>
          <w:tcPr>
            <w:tcW w:w="1080" w:type="dxa"/>
            <w:vMerge w:val="continue"/>
            <w:tcBorders>
              <w:top w:val="nil"/>
              <w:left w:val="single" w:color="auto" w:sz="8" w:space="0"/>
              <w:bottom w:val="single" w:color="000000"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b/>
                <w:kern w:val="0"/>
                <w:sz w:val="18"/>
              </w:rPr>
            </w:pPr>
          </w:p>
        </w:tc>
        <w:tc>
          <w:tcPr>
            <w:tcW w:w="1455"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kern w:val="0"/>
                <w:sz w:val="18"/>
              </w:rPr>
            </w:pPr>
            <w:r>
              <w:rPr>
                <w:rFonts w:hint="eastAsia" w:ascii="仿宋_GB2312" w:hAnsi="宋体" w:eastAsia="仿宋_GB2312"/>
                <w:kern w:val="0"/>
                <w:sz w:val="18"/>
              </w:rPr>
              <w:t>地方教育附加</w:t>
            </w:r>
          </w:p>
        </w:tc>
        <w:tc>
          <w:tcPr>
            <w:tcW w:w="2700" w:type="dxa"/>
            <w:tcBorders>
              <w:top w:val="single" w:color="auto" w:sz="8" w:space="0"/>
              <w:left w:val="nil"/>
              <w:bottom w:val="single" w:color="auto" w:sz="8" w:space="0"/>
              <w:right w:val="single" w:color="000000" w:sz="8" w:space="0"/>
              <w:tl2br w:val="nil"/>
              <w:tr2bl w:val="nil"/>
            </w:tcBorders>
            <w:noWrap w:val="0"/>
            <w:vAlign w:val="center"/>
          </w:tcPr>
          <w:p>
            <w:pPr>
              <w:widowControl/>
              <w:spacing w:beforeLines="0" w:afterLines="0"/>
              <w:jc w:val="left"/>
              <w:rPr>
                <w:rFonts w:hint="eastAsia" w:ascii="仿宋_GB2312" w:hAnsi="宋体" w:eastAsia="仿宋_GB2312"/>
                <w:kern w:val="0"/>
                <w:sz w:val="18"/>
              </w:rPr>
            </w:pPr>
            <w:r>
              <w:rPr>
                <w:rFonts w:hint="eastAsia" w:ascii="仿宋_GB2312" w:hAnsi="宋体" w:eastAsia="仿宋_GB2312"/>
                <w:kern w:val="0"/>
                <w:sz w:val="18"/>
              </w:rPr>
              <w:t>纳税人实际缴纳增值税、消费税、营业税税额的2%</w:t>
            </w:r>
          </w:p>
        </w:tc>
        <w:tc>
          <w:tcPr>
            <w:tcW w:w="4669"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r>
              <w:rPr>
                <w:rFonts w:hint="eastAsia" w:ascii="仿宋_GB2312" w:hAnsi="宋体" w:eastAsia="仿宋_GB2312"/>
                <w:kern w:val="0"/>
                <w:sz w:val="18"/>
              </w:rPr>
              <w:t>《教育法》，财综〔2001〕58号，财综函〔2003〕2号、9号、10号、12号、13号、14号、15号、16号、18号，财综〔2004〕73号，财综函〔2005〕33号，财综〔2006〕2号、61号，财综函〔2006〕9号，财综函〔2007〕45号，财综函〔2008〕7号，财综函〔2010〕2号、财综函〔2010〕2号、3号、7号、8、11号、71号、72号、73号、75号、76号、78号、79号、80号，财综〔2010〕98号，财综函〔2011〕1号、2号、3号、4号、5号、6号、7号、8号、9号、10号、11号、12号、13号、15号、16号、17号、57号辽政发〔2011〕4号，辽财非〔2011〕694号，辽财非〔2011〕996号，辽财非〔2014〕219号。按财综〔2010〕54号文件规定，对中小学校“校舍安全工程”予以免征，按沈房发〔2014〕41号，对保障性住房免收。</w:t>
            </w:r>
            <w:r>
              <w:rPr>
                <w:rFonts w:hint="eastAsia" w:ascii="仿宋_GB2312" w:hAnsi="宋体" w:eastAsia="仿宋_GB2312"/>
                <w:color w:val="FF0000"/>
                <w:kern w:val="0"/>
                <w:sz w:val="18"/>
              </w:rPr>
              <w:t>辽财税〔2019〕229号。按辽财税〔2019〕229号文件规定，对纳入产教融合产业企业建设培育范围的试点企业抵免地方教育费附加。</w:t>
            </w:r>
          </w:p>
        </w:tc>
        <w:tc>
          <w:tcPr>
            <w:tcW w:w="3071" w:type="dxa"/>
            <w:tcBorders>
              <w:top w:val="single" w:color="auto" w:sz="8" w:space="0"/>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12366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7" w:hRule="atLeast"/>
        </w:trPr>
        <w:tc>
          <w:tcPr>
            <w:tcW w:w="1080" w:type="dxa"/>
            <w:tcBorders>
              <w:top w:val="nil"/>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b/>
                <w:kern w:val="0"/>
                <w:sz w:val="18"/>
              </w:rPr>
            </w:pPr>
            <w:r>
              <w:rPr>
                <w:rFonts w:hint="eastAsia" w:ascii="仿宋_GB2312" w:hAnsi="宋体" w:eastAsia="仿宋_GB2312"/>
                <w:b/>
                <w:kern w:val="0"/>
                <w:sz w:val="18"/>
              </w:rPr>
              <w:t>5</w:t>
            </w:r>
          </w:p>
        </w:tc>
        <w:tc>
          <w:tcPr>
            <w:tcW w:w="1080"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b/>
                <w:kern w:val="0"/>
                <w:sz w:val="18"/>
              </w:rPr>
            </w:pPr>
            <w:r>
              <w:rPr>
                <w:rFonts w:hint="eastAsia" w:ascii="仿宋_GB2312" w:hAnsi="宋体" w:eastAsia="仿宋_GB2312"/>
                <w:b/>
                <w:kern w:val="0"/>
                <w:sz w:val="18"/>
              </w:rPr>
              <w:t>税务</w:t>
            </w:r>
          </w:p>
        </w:tc>
        <w:tc>
          <w:tcPr>
            <w:tcW w:w="1455"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残疾人就业保障金</w:t>
            </w:r>
          </w:p>
        </w:tc>
        <w:tc>
          <w:tcPr>
            <w:tcW w:w="2700" w:type="dxa"/>
            <w:tcBorders>
              <w:top w:val="nil"/>
              <w:left w:val="nil"/>
              <w:bottom w:val="single" w:color="auto" w:sz="8" w:space="0"/>
              <w:right w:val="single" w:color="000000"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r>
              <w:rPr>
                <w:rFonts w:hint="eastAsia" w:ascii="仿宋_GB2312" w:hAnsi="宋体" w:eastAsia="仿宋_GB2312"/>
                <w:kern w:val="0"/>
                <w:sz w:val="18"/>
              </w:rPr>
              <w:t>各单位按不低于本单位上年月平均人数在职职工（含固定工、合同工、临时工和计划外用工）总数1.7%的比例安置残疾人就业。凡安置残疾人未达到规定比例的单位，按年度差额人数和上年度全市职工年平均工资缴纳残疾人就业保障金。</w:t>
            </w:r>
          </w:p>
        </w:tc>
        <w:tc>
          <w:tcPr>
            <w:tcW w:w="4669" w:type="dxa"/>
            <w:tcBorders>
              <w:top w:val="nil"/>
              <w:left w:val="nil"/>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r>
              <w:rPr>
                <w:rFonts w:hint="eastAsia" w:ascii="仿宋_GB2312" w:hAnsi="宋体" w:eastAsia="仿宋_GB2312"/>
                <w:kern w:val="0"/>
                <w:sz w:val="18"/>
              </w:rPr>
              <w:t>《残疾人保障法》，财综字〔1995〕5号，财综〔2001〕16号，财综〔2008〕11号，财税〔2018〕39号，省政府令第75号，辽财综字〔1997〕359号，辽政发〔2003〕23号，辽政发〔2006〕15号,财税〔2017〕18号,沈残联发〔2015〕50号</w:t>
            </w:r>
          </w:p>
        </w:tc>
        <w:tc>
          <w:tcPr>
            <w:tcW w:w="3071"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12366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6" w:hRule="atLeast"/>
        </w:trPr>
        <w:tc>
          <w:tcPr>
            <w:tcW w:w="1080" w:type="dxa"/>
            <w:tcBorders>
              <w:top w:val="nil"/>
              <w:left w:val="single" w:color="auto" w:sz="8" w:space="0"/>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b/>
                <w:kern w:val="0"/>
                <w:sz w:val="18"/>
              </w:rPr>
            </w:pPr>
            <w:r>
              <w:rPr>
                <w:rFonts w:hint="eastAsia" w:ascii="仿宋_GB2312" w:hAnsi="宋体" w:eastAsia="仿宋_GB2312"/>
                <w:b/>
                <w:kern w:val="0"/>
                <w:sz w:val="18"/>
              </w:rPr>
              <w:t>6</w:t>
            </w:r>
          </w:p>
        </w:tc>
        <w:tc>
          <w:tcPr>
            <w:tcW w:w="1080"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default" w:ascii="仿宋_GB2312" w:hAnsi="宋体" w:eastAsia="仿宋_GB2312"/>
                <w:b/>
                <w:kern w:val="0"/>
                <w:sz w:val="18"/>
              </w:rPr>
            </w:pPr>
            <w:r>
              <w:rPr>
                <w:rFonts w:hint="eastAsia" w:ascii="仿宋_GB2312" w:hAnsi="宋体" w:eastAsia="仿宋_GB2312"/>
                <w:b/>
                <w:kern w:val="0"/>
                <w:sz w:val="18"/>
              </w:rPr>
              <w:t>税务</w:t>
            </w:r>
          </w:p>
        </w:tc>
        <w:tc>
          <w:tcPr>
            <w:tcW w:w="1455" w:type="dxa"/>
            <w:tcBorders>
              <w:top w:val="nil"/>
              <w:left w:val="nil"/>
              <w:bottom w:val="single" w:color="auto" w:sz="8" w:space="0"/>
              <w:right w:val="single" w:color="auto" w:sz="8" w:space="0"/>
              <w:tl2br w:val="nil"/>
              <w:tr2bl w:val="nil"/>
            </w:tcBorders>
            <w:noWrap w:val="0"/>
            <w:vAlign w:val="center"/>
          </w:tcPr>
          <w:p>
            <w:pPr>
              <w:widowControl/>
              <w:spacing w:beforeLines="0" w:afterLines="0"/>
              <w:rPr>
                <w:rFonts w:hint="default" w:ascii="仿宋_GB2312" w:hAnsi="宋体" w:eastAsia="仿宋_GB2312"/>
                <w:kern w:val="0"/>
                <w:sz w:val="18"/>
              </w:rPr>
            </w:pPr>
            <w:r>
              <w:rPr>
                <w:rFonts w:hint="eastAsia" w:ascii="仿宋_GB2312" w:hAnsi="宋体" w:eastAsia="仿宋_GB2312"/>
                <w:kern w:val="0"/>
                <w:sz w:val="18"/>
              </w:rPr>
              <w:t>文化事业建设费</w:t>
            </w:r>
          </w:p>
        </w:tc>
        <w:tc>
          <w:tcPr>
            <w:tcW w:w="2700" w:type="dxa"/>
            <w:tcBorders>
              <w:top w:val="nil"/>
              <w:left w:val="nil"/>
              <w:bottom w:val="single" w:color="auto" w:sz="8" w:space="0"/>
              <w:right w:val="single" w:color="000000" w:sz="8" w:space="0"/>
              <w:tl2br w:val="nil"/>
              <w:tr2bl w:val="nil"/>
            </w:tcBorders>
            <w:noWrap w:val="0"/>
            <w:vAlign w:val="center"/>
          </w:tcPr>
          <w:p>
            <w:pPr>
              <w:widowControl/>
              <w:spacing w:beforeLines="0" w:afterLines="0"/>
              <w:jc w:val="left"/>
              <w:rPr>
                <w:rFonts w:hint="eastAsia" w:ascii="仿宋_GB2312" w:hAnsi="宋体" w:eastAsia="仿宋_GB2312"/>
                <w:kern w:val="0"/>
                <w:sz w:val="18"/>
              </w:rPr>
            </w:pPr>
            <w:r>
              <w:rPr>
                <w:rFonts w:hint="eastAsia" w:ascii="仿宋_GB2312" w:hAnsi="宋体" w:eastAsia="仿宋_GB2312"/>
                <w:kern w:val="0"/>
                <w:sz w:val="18"/>
              </w:rPr>
              <w:t>娱乐业的单位和个人缴纳文化事业建设费应按照提供娱乐服务取得的营业税的营业额和规定的费率计算应缴费额，计算公式为：应缴费额=应纳娱乐业营业税的营业额×3%</w:t>
            </w:r>
          </w:p>
        </w:tc>
        <w:tc>
          <w:tcPr>
            <w:tcW w:w="4669" w:type="dxa"/>
            <w:tcBorders>
              <w:top w:val="nil"/>
              <w:left w:val="nil"/>
              <w:bottom w:val="single" w:color="auto" w:sz="8" w:space="0"/>
              <w:right w:val="single" w:color="auto" w:sz="8" w:space="0"/>
              <w:tl2br w:val="nil"/>
              <w:tr2bl w:val="nil"/>
            </w:tcBorders>
            <w:noWrap w:val="0"/>
            <w:vAlign w:val="center"/>
          </w:tcPr>
          <w:p>
            <w:pPr>
              <w:widowControl/>
              <w:spacing w:beforeLines="0" w:afterLines="0"/>
              <w:jc w:val="left"/>
              <w:rPr>
                <w:rFonts w:hint="default" w:ascii="仿宋_GB2312" w:hAnsi="宋体" w:eastAsia="仿宋_GB2312"/>
                <w:kern w:val="0"/>
                <w:sz w:val="18"/>
              </w:rPr>
            </w:pPr>
            <w:r>
              <w:rPr>
                <w:rFonts w:hint="eastAsia" w:ascii="仿宋_GB2312" w:hAnsi="宋体" w:eastAsia="仿宋_GB2312"/>
                <w:kern w:val="0"/>
                <w:sz w:val="18"/>
              </w:rPr>
              <w:t>国发〔1996〕37号，国办发〔2006〕43号，财税字〔1997〕95号，财综〔2002〕33号，财综〔2008〕11号，财综〔2013〕102号，财综〔2012〕68号，辽地税行〔1997〕205号，辽财预字〔1997〕348号，辽财教〔2007〕67号，财综〔2013〕88号，辽财非〔2013〕642号，</w:t>
            </w:r>
            <w:r>
              <w:rPr>
                <w:rFonts w:hint="eastAsia" w:ascii="仿宋_GB2312" w:hAnsi="宋体" w:eastAsia="仿宋_GB2312"/>
                <w:color w:val="FF0000"/>
                <w:kern w:val="0"/>
                <w:sz w:val="18"/>
              </w:rPr>
              <w:t>辽财税〔2019〕229号。按辽财税〔2019〕229号文件规定，自2019年7月1日至2024年12月31日，对归属地方的文化事业建设费，按缴纳义务人应缴费额50%减征。</w:t>
            </w:r>
          </w:p>
        </w:tc>
        <w:tc>
          <w:tcPr>
            <w:tcW w:w="3071"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ascii="仿宋_GB2312" w:hAnsi="宋体" w:eastAsia="仿宋_GB2312"/>
                <w:kern w:val="0"/>
                <w:sz w:val="18"/>
              </w:rPr>
            </w:pPr>
            <w:r>
              <w:rPr>
                <w:rFonts w:hint="eastAsia" w:ascii="仿宋_GB2312" w:hAnsi="宋体" w:eastAsia="仿宋_GB2312"/>
                <w:kern w:val="0"/>
                <w:sz w:val="18"/>
              </w:rPr>
              <w:t>12366</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0722C"/>
    <w:rsid w:val="06B0722C"/>
    <w:rsid w:val="5DEBC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spacing w:beforeLines="0" w:afterLines="0"/>
      <w:jc w:val="both"/>
    </w:pPr>
    <w:rPr>
      <w:rFonts w:hint="eastAsia"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2019-09-06T10:20:00Z</dcterms:created>
  <dc:creator>Administrator</dc:creator>
  <cp:lastModifiedBy>zfb</cp:lastModifiedBy>
  <dcterms:modified xsi:type="dcterms:W3CDTF">2024-02-21T13:44:09Z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