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215"/>
        <w:gridCol w:w="5250"/>
        <w:gridCol w:w="2940"/>
        <w:gridCol w:w="73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055" w:type="dxa"/>
            <w:gridSpan w:val="7"/>
            <w:tcBorders>
              <w:top w:val="nil"/>
              <w:left w:val="nil"/>
              <w:bottom w:val="nil"/>
              <w:right w:val="nil"/>
              <w:tl2br w:val="nil"/>
              <w:tr2bl w:val="nil"/>
            </w:tcBorders>
            <w:noWrap w:val="0"/>
            <w:vAlign w:val="top"/>
          </w:tcPr>
          <w:p>
            <w:pPr>
              <w:widowControl/>
              <w:spacing w:beforeLines="0" w:afterLines="0"/>
              <w:rPr>
                <w:rFonts w:hint="eastAsia" w:ascii="黑体" w:hAnsi="宋体" w:eastAsia="黑体"/>
                <w:kern w:val="0"/>
                <w:sz w:val="32"/>
              </w:rPr>
            </w:pPr>
            <w:r>
              <w:rPr>
                <w:rFonts w:hint="eastAsia" w:ascii="黑体" w:hAnsi="宋体" w:eastAsia="黑体"/>
                <w:kern w:val="0"/>
                <w:sz w:val="32"/>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055" w:type="dxa"/>
            <w:gridSpan w:val="7"/>
            <w:tcBorders>
              <w:top w:val="nil"/>
              <w:left w:val="nil"/>
              <w:bottom w:val="single" w:color="auto" w:sz="8" w:space="0"/>
              <w:right w:val="nil"/>
              <w:tl2br w:val="nil"/>
              <w:tr2bl w:val="nil"/>
            </w:tcBorders>
            <w:noWrap w:val="0"/>
            <w:vAlign w:val="top"/>
          </w:tcPr>
          <w:p>
            <w:pPr>
              <w:widowControl/>
              <w:spacing w:beforeLines="0" w:afterLines="0"/>
              <w:jc w:val="center"/>
              <w:rPr>
                <w:rFonts w:hint="default"/>
                <w:b/>
                <w:kern w:val="0"/>
                <w:sz w:val="44"/>
              </w:rPr>
            </w:pPr>
            <w:r>
              <w:rPr>
                <w:rFonts w:hint="eastAsia" w:ascii="宋体" w:hAnsi="宋体"/>
                <w:b/>
                <w:kern w:val="0"/>
                <w:sz w:val="44"/>
              </w:rPr>
              <w:t>2019年沈阳市本级涉企行政事业性收费目录清单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auto" w:sz="8" w:space="0"/>
              <w:bottom w:val="single" w:color="auto" w:sz="8" w:space="0"/>
              <w:right w:val="single" w:color="auto" w:sz="8" w:space="0"/>
              <w:tl2br w:val="nil"/>
              <w:tr2bl w:val="nil"/>
            </w:tcBorders>
            <w:noWrap w:val="0"/>
            <w:vAlign w:val="bottom"/>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序号</w:t>
            </w:r>
          </w:p>
        </w:tc>
        <w:tc>
          <w:tcPr>
            <w:tcW w:w="1080"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主管部门</w:t>
            </w:r>
          </w:p>
        </w:tc>
        <w:tc>
          <w:tcPr>
            <w:tcW w:w="1215"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收费项目</w:t>
            </w:r>
          </w:p>
        </w:tc>
        <w:tc>
          <w:tcPr>
            <w:tcW w:w="5250"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收费标准</w:t>
            </w:r>
          </w:p>
        </w:tc>
        <w:tc>
          <w:tcPr>
            <w:tcW w:w="2940"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政策依据</w:t>
            </w:r>
          </w:p>
        </w:tc>
        <w:tc>
          <w:tcPr>
            <w:tcW w:w="735"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立项级次</w:t>
            </w:r>
          </w:p>
        </w:tc>
        <w:tc>
          <w:tcPr>
            <w:tcW w:w="1755"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trPr>
        <w:tc>
          <w:tcPr>
            <w:tcW w:w="1080" w:type="dxa"/>
            <w:vMerge w:val="restart"/>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一</w:t>
            </w:r>
          </w:p>
        </w:tc>
        <w:tc>
          <w:tcPr>
            <w:tcW w:w="1080" w:type="dxa"/>
            <w:vMerge w:val="restart"/>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公安</w:t>
            </w: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1.机动车辆号牌证工本费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　</w:t>
            </w:r>
          </w:p>
        </w:tc>
        <w:tc>
          <w:tcPr>
            <w:tcW w:w="294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发改价格〔2004〕2831号</w:t>
            </w:r>
          </w:p>
        </w:tc>
        <w:tc>
          <w:tcPr>
            <w:tcW w:w="735" w:type="dxa"/>
            <w:vMerge w:val="restart"/>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vMerge w:val="restart"/>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23108117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（1）号牌费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20"/>
              </w:rPr>
            </w:pPr>
            <w:r>
              <w:rPr>
                <w:rFonts w:hint="eastAsia" w:ascii="仿宋_GB2312" w:hAnsi="宋体" w:eastAsia="仿宋_GB2312"/>
                <w:kern w:val="0"/>
                <w:sz w:val="20"/>
              </w:rPr>
              <w:t>汽车反光100元/副，不反光80元/副；临时5元/张；</w:t>
            </w:r>
            <w:r>
              <w:rPr>
                <w:rFonts w:hint="eastAsia" w:ascii="仿宋_GB2312" w:hAnsi="宋体" w:eastAsia="仿宋_GB2312"/>
                <w:kern w:val="0"/>
                <w:sz w:val="18"/>
              </w:rPr>
              <w:t>挂车反光每副50元，不反光每副30元；三轮汽车、低速货车、拖拉机反光每副40元，不反光每副25元；摩托车反光每副70元、不反光每副50元。</w:t>
            </w:r>
          </w:p>
        </w:tc>
        <w:tc>
          <w:tcPr>
            <w:tcW w:w="294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　</w:t>
            </w:r>
          </w:p>
        </w:tc>
        <w:tc>
          <w:tcPr>
            <w:tcW w:w="735" w:type="dxa"/>
            <w:vMerge w:val="continue"/>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（2）号牌固封装置费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单独补发号牌专用固封装置（压有发牌机关代号），每个1元</w:t>
            </w:r>
          </w:p>
        </w:tc>
        <w:tc>
          <w:tcPr>
            <w:tcW w:w="294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　</w:t>
            </w:r>
          </w:p>
        </w:tc>
        <w:tc>
          <w:tcPr>
            <w:tcW w:w="735" w:type="dxa"/>
            <w:vMerge w:val="continue"/>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2.机动车行驶证、登记证工本费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行驶证工本费10元/本；临时行驶证工本费10元/本；登记证10元/本</w:t>
            </w:r>
          </w:p>
        </w:tc>
        <w:tc>
          <w:tcPr>
            <w:tcW w:w="294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发改价格〔2004〕2831号,发改价格〔2017〕1186号。按沈政发〔2016〕15号免收换领机动车驾驶证工本费。</w:t>
            </w:r>
          </w:p>
        </w:tc>
        <w:tc>
          <w:tcPr>
            <w:tcW w:w="73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23108117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0" w:hRule="atLeast"/>
        </w:trPr>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3.临时入境机动车号牌和行驶证工本费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临时入境机动车号牌和行驶证10元/证</w:t>
            </w:r>
          </w:p>
        </w:tc>
        <w:tc>
          <w:tcPr>
            <w:tcW w:w="294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财综〔2008〕36号,辽财非〔2008〕399号，发改价格〔2008〕1175号，发改价格〔2017〕1186号</w:t>
            </w:r>
          </w:p>
        </w:tc>
        <w:tc>
          <w:tcPr>
            <w:tcW w:w="73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23108117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080" w:type="dxa"/>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二</w:t>
            </w:r>
          </w:p>
        </w:tc>
        <w:tc>
          <w:tcPr>
            <w:tcW w:w="108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法院</w:t>
            </w: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4..诉讼费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按照《诉讼费用交纳办法》执行</w:t>
            </w:r>
          </w:p>
        </w:tc>
        <w:tc>
          <w:tcPr>
            <w:tcW w:w="294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《民事诉讼法》，《行政诉讼法》，财预〔2002〕9号，财行〔2003〕275号，《诉讼费用交纳办法》（国务院令第481号），辽财预〔2002〕77号，辽财行〔2007〕852号</w:t>
            </w:r>
          </w:p>
        </w:tc>
        <w:tc>
          <w:tcPr>
            <w:tcW w:w="73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22763589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08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三</w:t>
            </w:r>
          </w:p>
        </w:tc>
        <w:tc>
          <w:tcPr>
            <w:tcW w:w="108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人防</w:t>
            </w:r>
          </w:p>
        </w:tc>
        <w:tc>
          <w:tcPr>
            <w:tcW w:w="121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5..防空地下室易地建设费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按应建防空地下室建筑面积：县级市和县1000元/平方米，其它地区2000元/平方米。九层以下民用建筑不建防空地下室的，按地面总建筑面积缴纳；县级市及县20元/平方米，其它地区40元/平方米。按沈发改发〔2018〕141号、辽价发〔2018〕55号规定，自2018年10月1日起，将人防工程易地建设费缴纳标准在原有标准的基础上降低15%。</w:t>
            </w:r>
            <w:r>
              <w:rPr>
                <w:rFonts w:hint="eastAsia" w:ascii="仿宋_GB2312" w:hAnsi="宋体" w:eastAsia="仿宋_GB2312"/>
                <w:color w:val="FF0000"/>
                <w:kern w:val="0"/>
                <w:sz w:val="18"/>
              </w:rPr>
              <w:t>按财税〔2019〕53号，对确因地质条件等原因无法修建防空地下室的易地扶贫搬迁项目，免征防空地下室易地建设费。</w:t>
            </w:r>
          </w:p>
        </w:tc>
        <w:tc>
          <w:tcPr>
            <w:tcW w:w="294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中发〔2001〕9号，国发〔2008〕4号，国动字〔1998〕2号，国动字〔1999〕1号，计价格〔2000〕474号，财预〔2002〕584号，发改办价格〔2017〕799号，省政府令第49号，辽人发〔2000〕19号，辽财预〔2002〕632号，辽财非〔2010〕1127号，辽财非函〔2013〕256号，辽价函〔2017〕64号，辽价发〔2001〕72号，沈价发〔2010〕62号，沈价发〔2002〕44号。按财综〔2010〕57号文件规定，对中小学校“校舍安全工程”予以免征，按沈房发〔2014〕41号，对保障性住房免收，按沈政发〔2016〕15号，对工业和现代物流项目免征。沈发改发〔2018〕141号、辽价发〔2018〕55号</w:t>
            </w:r>
            <w:r>
              <w:rPr>
                <w:rFonts w:hint="eastAsia" w:ascii="仿宋_GB2312" w:hAnsi="宋体" w:eastAsia="仿宋_GB2312"/>
                <w:color w:val="FF0000"/>
                <w:kern w:val="0"/>
                <w:sz w:val="18"/>
              </w:rPr>
              <w:t xml:space="preserve">、财税〔2019〕53号 </w:t>
            </w:r>
          </w:p>
        </w:tc>
        <w:tc>
          <w:tcPr>
            <w:tcW w:w="73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83963672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3" w:hRule="atLeast"/>
        </w:trPr>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以下新建民用建筑项目应适当减免：①享受政府优惠政策建设的廉租房、经济适用房等居民住房，新建幼儿园、学校教学楼、养老院及为残疾人修建的生活服务设施等民用建筑减半收取。②临时民用建筑和不增加面积的危房翻新发行商品住宅项目，因遭受水灾、火灾或其它不可抗拒的灾害造成损坏后按原面积修复的民用建筑免收。</w:t>
            </w:r>
          </w:p>
        </w:tc>
        <w:tc>
          <w:tcPr>
            <w:tcW w:w="294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1080" w:type="dxa"/>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四</w:t>
            </w:r>
          </w:p>
        </w:tc>
        <w:tc>
          <w:tcPr>
            <w:tcW w:w="108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仲裁</w:t>
            </w: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6.仲裁</w:t>
            </w:r>
          </w:p>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收费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按文件规定标准执行</w:t>
            </w:r>
          </w:p>
        </w:tc>
        <w:tc>
          <w:tcPr>
            <w:tcW w:w="294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国办发〔1995〕44号，财综〔2010〕19号，辽财非〔2010〕985号</w:t>
            </w:r>
          </w:p>
        </w:tc>
        <w:tc>
          <w:tcPr>
            <w:tcW w:w="73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22854996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108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五</w:t>
            </w:r>
          </w:p>
        </w:tc>
        <w:tc>
          <w:tcPr>
            <w:tcW w:w="108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自然资源</w:t>
            </w: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7.耕地开垦费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对经批准进行非农业建设占用耕地，又没有条件开垦耕地或开垦的耕地不符合要求的单位和个人征收，每平方米10元；占用基本农田的，每平方米20元。</w:t>
            </w:r>
          </w:p>
        </w:tc>
        <w:tc>
          <w:tcPr>
            <w:tcW w:w="294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《土地管理法》，辽政发〔2000〕48号。按财综〔2010〕57号文件规定，对中小学校“校舍安全工程”予以免收。按沈房发〔2014〕41号，对保障性住房免收。</w:t>
            </w:r>
          </w:p>
        </w:tc>
        <w:tc>
          <w:tcPr>
            <w:tcW w:w="73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23240767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8.土地复垦费（取消对农民建房用地的土地复垦费）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对因挖损、塌陷、占压等造成土地破坏，又没有条件复垦或复垦不符合要求的单位和个人征收，每平方米10元</w:t>
            </w:r>
          </w:p>
        </w:tc>
        <w:tc>
          <w:tcPr>
            <w:tcW w:w="294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《土地管理法》，辽政发〔2000〕48号。按财综〔2010〕57号文件规定，对中小学校“校舍安全工程”予以免收。按沈房发〔2014〕41号，对保障性住房免收。</w:t>
            </w:r>
          </w:p>
        </w:tc>
        <w:tc>
          <w:tcPr>
            <w:tcW w:w="73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23240767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9.土地闲置费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除属于政府、政府有关部门的行为造成动工开发延迟的情形外，未动工开发满一年被认定为闲置土地的，按照土地出让或者划拨价款的百分之二十征缴土地闲置费。对已经办理审批手续的非农业建设占用耕地，自批准之日起1年以上未动工建设的单位和个人征收，每平方米5元</w:t>
            </w:r>
          </w:p>
        </w:tc>
        <w:tc>
          <w:tcPr>
            <w:tcW w:w="294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《中华人民共和国城市房地产管理法》，《土地管理法》，辽政发〔2000〕48号 ，财综〔2012〕47号、《闲置土地处置办法》（国土资源部令第53号）</w:t>
            </w:r>
          </w:p>
        </w:tc>
        <w:tc>
          <w:tcPr>
            <w:tcW w:w="73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23211099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8" w:hRule="atLeast"/>
        </w:trPr>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10.不动产登记收费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住宅类不动产登记80元/件，非住宅类不动产登记收费550元/件，向一个以上不动产权利人发权属证书的，每增加一本证书加收工本费10元。详见发改价格规〔2016〕2559号。</w:t>
            </w:r>
            <w:r>
              <w:rPr>
                <w:rFonts w:hint="eastAsia" w:ascii="仿宋_GB2312" w:hAnsi="宋体" w:eastAsia="仿宋_GB2312"/>
                <w:color w:val="FF0000"/>
                <w:kern w:val="0"/>
                <w:sz w:val="18"/>
              </w:rPr>
              <w:t>按财税〔2019〕45号规定，对申请变更登记、更正登记的，申请办理森林、林木所有权及其占用的林地承包经营权或林地使用权，及相关抵押权、地役权不动产权利登记的，申请办理耕地、草地、水域、滩涂等土地承包经营权或国有农用地使用权，及相关抵押权、地役权不动产权利登记的，免征不动产登记费。对申请办理车库、车位、储藏室不动产登记，单独核发不动产权属证书或登记证明的，不动产登记费由原非住宅类不动产登记每件550元减按住宅类不动产登记每件80元。按财税〔2019〕53号规定，对易地扶贫搬迁项目免征不动产登记费。</w:t>
            </w:r>
          </w:p>
        </w:tc>
        <w:tc>
          <w:tcPr>
            <w:tcW w:w="294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财税〔2016〕79号，发改价格规〔2016〕2559号，</w:t>
            </w:r>
            <w:r>
              <w:rPr>
                <w:rFonts w:hint="eastAsia" w:ascii="仿宋_GB2312" w:hAnsi="宋体" w:eastAsia="仿宋_GB2312"/>
                <w:color w:val="FF0000"/>
                <w:kern w:val="0"/>
                <w:sz w:val="18"/>
              </w:rPr>
              <w:t>财税〔2019〕45号，财税〔2019〕53号</w:t>
            </w:r>
            <w:r>
              <w:rPr>
                <w:rFonts w:hint="eastAsia" w:ascii="仿宋_GB2312" w:hAnsi="宋体" w:eastAsia="仿宋_GB2312"/>
                <w:kern w:val="0"/>
                <w:sz w:val="18"/>
              </w:rPr>
              <w:t>。按规定收取不动产登记费后，原相关部门收取的土地登记费、房屋登记费、林权证工本费以及其他涉及不动产登记、查询、复制和证明的收费项目一律取消。</w:t>
            </w:r>
          </w:p>
        </w:tc>
        <w:tc>
          <w:tcPr>
            <w:tcW w:w="73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22973069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1080" w:type="dxa"/>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六</w:t>
            </w:r>
          </w:p>
        </w:tc>
        <w:tc>
          <w:tcPr>
            <w:tcW w:w="108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水务集团</w:t>
            </w: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11.污水处理费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居民用水0.95元/吨；非居民用水1.4元/吨。康平、法库执行居民用水0.85元/吨；非居民用水1.12元/吨。</w:t>
            </w:r>
          </w:p>
        </w:tc>
        <w:tc>
          <w:tcPr>
            <w:tcW w:w="294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国发〔2000〕36号，发改价格〔2015〕119号，财税〔2014〕151号，省政府令第235号，辽政办发〔2003〕77号，辽政办发〔2008〕60号，沈财综〔2003〕689号，沈阳市人民政府令第62号，沈人大发〔2007〕14号，沈价发〔2016〕42号,按沈委发〔2017〕29号，免收建筑基坑降水（疏干取水）污水处理费。</w:t>
            </w:r>
          </w:p>
        </w:tc>
        <w:tc>
          <w:tcPr>
            <w:tcW w:w="73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83962691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5" w:hRule="atLeast"/>
        </w:trPr>
        <w:tc>
          <w:tcPr>
            <w:tcW w:w="1080" w:type="dxa"/>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七</w:t>
            </w:r>
          </w:p>
        </w:tc>
        <w:tc>
          <w:tcPr>
            <w:tcW w:w="108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综合</w:t>
            </w:r>
          </w:p>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行政</w:t>
            </w:r>
          </w:p>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执法</w:t>
            </w: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12.城市道路占用、挖掘修复费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城市道路占用收费标准：①繁华地区一年以内基建工地占道1.00元/日</w:t>
            </w:r>
            <w:r>
              <w:rPr>
                <w:rFonts w:hint="default"/>
                <w:kern w:val="0"/>
                <w:sz w:val="18"/>
              </w:rPr>
              <w:t>•</w:t>
            </w:r>
            <w:r>
              <w:rPr>
                <w:rFonts w:hint="eastAsia" w:ascii="仿宋_GB2312" w:hAnsi="宋体" w:eastAsia="仿宋_GB2312"/>
                <w:kern w:val="0"/>
                <w:sz w:val="18"/>
              </w:rPr>
              <w:t>平米，其它占道10.00元/日</w:t>
            </w:r>
            <w:r>
              <w:rPr>
                <w:rFonts w:hint="default"/>
                <w:kern w:val="0"/>
                <w:sz w:val="18"/>
              </w:rPr>
              <w:t>•</w:t>
            </w:r>
            <w:r>
              <w:rPr>
                <w:rFonts w:hint="eastAsia" w:ascii="仿宋_GB2312" w:hAnsi="宋体" w:eastAsia="仿宋_GB2312"/>
                <w:kern w:val="0"/>
                <w:sz w:val="18"/>
              </w:rPr>
              <w:t>平米。一年以上基建工地占道2.00元/日</w:t>
            </w:r>
            <w:r>
              <w:rPr>
                <w:rFonts w:hint="default"/>
                <w:kern w:val="0"/>
                <w:sz w:val="18"/>
              </w:rPr>
              <w:t>•</w:t>
            </w:r>
            <w:r>
              <w:rPr>
                <w:rFonts w:hint="eastAsia" w:ascii="仿宋_GB2312" w:hAnsi="宋体" w:eastAsia="仿宋_GB2312"/>
                <w:kern w:val="0"/>
                <w:sz w:val="18"/>
              </w:rPr>
              <w:t>平米，其它占道10.00元/日</w:t>
            </w:r>
            <w:r>
              <w:rPr>
                <w:rFonts w:hint="default"/>
                <w:kern w:val="0"/>
                <w:sz w:val="18"/>
              </w:rPr>
              <w:t>•</w:t>
            </w:r>
            <w:r>
              <w:rPr>
                <w:rFonts w:hint="eastAsia" w:ascii="仿宋_GB2312" w:hAnsi="宋体" w:eastAsia="仿宋_GB2312"/>
                <w:kern w:val="0"/>
                <w:sz w:val="18"/>
              </w:rPr>
              <w:t>平米。  ②一级街路一年以内基建工地占道1.00元/日</w:t>
            </w:r>
            <w:r>
              <w:rPr>
                <w:rFonts w:hint="default"/>
                <w:kern w:val="0"/>
                <w:sz w:val="18"/>
              </w:rPr>
              <w:t>•</w:t>
            </w:r>
            <w:r>
              <w:rPr>
                <w:rFonts w:hint="eastAsia" w:ascii="仿宋_GB2312" w:hAnsi="宋体" w:eastAsia="仿宋_GB2312"/>
                <w:kern w:val="0"/>
                <w:sz w:val="18"/>
              </w:rPr>
              <w:t>平米，其它占道2.00元/日</w:t>
            </w:r>
            <w:r>
              <w:rPr>
                <w:rFonts w:hint="default"/>
                <w:kern w:val="0"/>
                <w:sz w:val="18"/>
              </w:rPr>
              <w:t>•</w:t>
            </w:r>
            <w:r>
              <w:rPr>
                <w:rFonts w:hint="eastAsia" w:ascii="仿宋_GB2312" w:hAnsi="宋体" w:eastAsia="仿宋_GB2312"/>
                <w:kern w:val="0"/>
                <w:sz w:val="18"/>
              </w:rPr>
              <w:t>平米。一年以上基建工地占道2.00元/日</w:t>
            </w:r>
            <w:r>
              <w:rPr>
                <w:rFonts w:hint="default"/>
                <w:kern w:val="0"/>
                <w:sz w:val="18"/>
              </w:rPr>
              <w:t>•</w:t>
            </w:r>
            <w:r>
              <w:rPr>
                <w:rFonts w:hint="eastAsia" w:ascii="仿宋_GB2312" w:hAnsi="宋体" w:eastAsia="仿宋_GB2312"/>
                <w:kern w:val="0"/>
                <w:sz w:val="18"/>
              </w:rPr>
              <w:t>平米，其它占道4.00元/日</w:t>
            </w:r>
            <w:r>
              <w:rPr>
                <w:rFonts w:hint="default"/>
                <w:kern w:val="0"/>
                <w:sz w:val="18"/>
              </w:rPr>
              <w:t>•</w:t>
            </w:r>
            <w:r>
              <w:rPr>
                <w:rFonts w:hint="eastAsia" w:ascii="仿宋_GB2312" w:hAnsi="宋体" w:eastAsia="仿宋_GB2312"/>
                <w:kern w:val="0"/>
                <w:sz w:val="18"/>
              </w:rPr>
              <w:t>平米。③二级街路一年以内基建工地占道0.50元/日</w:t>
            </w:r>
            <w:r>
              <w:rPr>
                <w:rFonts w:hint="default"/>
                <w:kern w:val="0"/>
                <w:sz w:val="18"/>
              </w:rPr>
              <w:t>•</w:t>
            </w:r>
            <w:r>
              <w:rPr>
                <w:rFonts w:hint="eastAsia" w:ascii="仿宋_GB2312" w:hAnsi="宋体" w:eastAsia="仿宋_GB2312"/>
                <w:kern w:val="0"/>
                <w:sz w:val="18"/>
              </w:rPr>
              <w:t>平米，其它占道1.00元/日</w:t>
            </w:r>
            <w:r>
              <w:rPr>
                <w:rFonts w:hint="default"/>
                <w:kern w:val="0"/>
                <w:sz w:val="18"/>
              </w:rPr>
              <w:t>•</w:t>
            </w:r>
            <w:r>
              <w:rPr>
                <w:rFonts w:hint="eastAsia" w:ascii="仿宋_GB2312" w:hAnsi="宋体" w:eastAsia="仿宋_GB2312"/>
                <w:kern w:val="0"/>
                <w:sz w:val="18"/>
              </w:rPr>
              <w:t>平米。一年以上基建工地占道1.00元/日</w:t>
            </w:r>
            <w:r>
              <w:rPr>
                <w:rFonts w:hint="default"/>
                <w:kern w:val="0"/>
                <w:sz w:val="18"/>
              </w:rPr>
              <w:t>•</w:t>
            </w:r>
            <w:r>
              <w:rPr>
                <w:rFonts w:hint="eastAsia" w:ascii="仿宋_GB2312" w:hAnsi="宋体" w:eastAsia="仿宋_GB2312"/>
                <w:kern w:val="0"/>
                <w:sz w:val="18"/>
              </w:rPr>
              <w:t>平米，其它占道2.00元/日</w:t>
            </w:r>
            <w:r>
              <w:rPr>
                <w:rFonts w:hint="default"/>
                <w:kern w:val="0"/>
                <w:sz w:val="18"/>
              </w:rPr>
              <w:t>•</w:t>
            </w:r>
            <w:r>
              <w:rPr>
                <w:rFonts w:hint="eastAsia" w:ascii="仿宋_GB2312" w:hAnsi="宋体" w:eastAsia="仿宋_GB2312"/>
                <w:kern w:val="0"/>
                <w:sz w:val="18"/>
              </w:rPr>
              <w:t>平米。④街巷路一年以内基建工地占道0.30元/日</w:t>
            </w:r>
            <w:r>
              <w:rPr>
                <w:rFonts w:hint="default"/>
                <w:kern w:val="0"/>
                <w:sz w:val="18"/>
              </w:rPr>
              <w:t>•</w:t>
            </w:r>
            <w:r>
              <w:rPr>
                <w:rFonts w:hint="eastAsia" w:ascii="仿宋_GB2312" w:hAnsi="宋体" w:eastAsia="仿宋_GB2312"/>
                <w:kern w:val="0"/>
                <w:sz w:val="18"/>
              </w:rPr>
              <w:t>平米，其它占道0.50元/日</w:t>
            </w:r>
            <w:r>
              <w:rPr>
                <w:rFonts w:hint="default"/>
                <w:kern w:val="0"/>
                <w:sz w:val="18"/>
              </w:rPr>
              <w:t>•</w:t>
            </w:r>
            <w:r>
              <w:rPr>
                <w:rFonts w:hint="eastAsia" w:ascii="仿宋_GB2312" w:hAnsi="宋体" w:eastAsia="仿宋_GB2312"/>
                <w:kern w:val="0"/>
                <w:sz w:val="18"/>
              </w:rPr>
              <w:t>平米。一年以上基建工地占道0.60元/日</w:t>
            </w:r>
            <w:r>
              <w:rPr>
                <w:rFonts w:hint="default"/>
                <w:kern w:val="0"/>
                <w:sz w:val="18"/>
              </w:rPr>
              <w:t>•</w:t>
            </w:r>
            <w:r>
              <w:rPr>
                <w:rFonts w:hint="eastAsia" w:ascii="仿宋_GB2312" w:hAnsi="宋体" w:eastAsia="仿宋_GB2312"/>
                <w:kern w:val="0"/>
                <w:sz w:val="18"/>
              </w:rPr>
              <w:t>平米，其它占道1.00元/日</w:t>
            </w:r>
            <w:r>
              <w:rPr>
                <w:rFonts w:hint="default"/>
                <w:kern w:val="0"/>
                <w:sz w:val="18"/>
              </w:rPr>
              <w:t>•</w:t>
            </w:r>
            <w:r>
              <w:rPr>
                <w:rFonts w:hint="eastAsia" w:ascii="仿宋_GB2312" w:hAnsi="宋体" w:eastAsia="仿宋_GB2312"/>
                <w:kern w:val="0"/>
                <w:sz w:val="18"/>
              </w:rPr>
              <w:t>平米。⑤占用道路的各类停车场、市场（含摊区）0.10元/日</w:t>
            </w:r>
            <w:r>
              <w:rPr>
                <w:rFonts w:hint="default"/>
                <w:kern w:val="0"/>
                <w:sz w:val="18"/>
              </w:rPr>
              <w:t>•</w:t>
            </w:r>
            <w:r>
              <w:rPr>
                <w:rFonts w:hint="eastAsia" w:ascii="仿宋_GB2312" w:hAnsi="宋体" w:eastAsia="仿宋_GB2312"/>
                <w:kern w:val="0"/>
                <w:sz w:val="18"/>
              </w:rPr>
              <w:t>平米。城市道路挖掘修复收费标准：①沥青路面520元/平方米。②条（料）石路面500元/平方米。③水泥砼路面300元/平方米。④彩色方砖230元/平方米。⑤边石、卧石158元/平方米。⑥砂石路面87元/平方米。⑦土路30元/平方米。⑧规划路30元/平方米。</w:t>
            </w:r>
          </w:p>
        </w:tc>
        <w:tc>
          <w:tcPr>
            <w:tcW w:w="2940" w:type="dxa"/>
            <w:tcBorders>
              <w:top w:val="single" w:color="auto" w:sz="8" w:space="0"/>
              <w:left w:val="nil"/>
              <w:bottom w:val="single" w:color="auto" w:sz="8" w:space="0"/>
              <w:right w:val="single" w:color="000000"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城市道路管理条例》，财税〔2015〕68号，辽财非〔2015〕991号，建城〔1993〕410号，财预〔2003〕470号，辽建发〔1995〕53号，辽住建〔2011〕240号，沈文城发〔1993〕8号，沈价发〔1993〕90号。按沈房发〔2014〕41号，对保障性住房免收。按沈政发〔2016〕15号规定，市政设施道路损坏补偿费的征收并入城市道路挖掘费的征收</w:t>
            </w:r>
          </w:p>
        </w:tc>
        <w:tc>
          <w:tcPr>
            <w:tcW w:w="73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86839331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vMerge w:val="restart"/>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八</w:t>
            </w:r>
          </w:p>
        </w:tc>
        <w:tc>
          <w:tcPr>
            <w:tcW w:w="1080" w:type="dxa"/>
            <w:vMerge w:val="restart"/>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水务</w:t>
            </w:r>
          </w:p>
        </w:tc>
        <w:tc>
          <w:tcPr>
            <w:tcW w:w="1215" w:type="dxa"/>
            <w:vMerge w:val="restart"/>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13.水资源费（对农民生活和生产用水免收）</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①一般地下水：居民生活和自来水公司取水0.35元/立方米；非居民取水0.7元/立方米；特业取水4元/立方米。</w:t>
            </w:r>
          </w:p>
        </w:tc>
        <w:tc>
          <w:tcPr>
            <w:tcW w:w="294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w:t>
            </w:r>
            <w:r>
              <w:rPr>
                <w:rFonts w:hint="eastAsia" w:ascii="仿宋_GB2312" w:hAnsi="宋体" w:eastAsia="仿宋_GB2312"/>
                <w:kern w:val="0"/>
                <w:sz w:val="18"/>
                <w:lang w:eastAsia="zh-CN"/>
              </w:rPr>
              <w:t>取水许可和水资源费征收管理条例</w:t>
            </w:r>
            <w:r>
              <w:rPr>
                <w:rFonts w:hint="eastAsia" w:ascii="仿宋_GB2312" w:hAnsi="宋体" w:eastAsia="仿宋_GB2312"/>
                <w:kern w:val="0"/>
                <w:sz w:val="18"/>
              </w:rPr>
              <w:t>》（国务院令第460号），价费字〔1992〕181号，财预字〔1994〕37号，财综〔2003〕89号，发改价格〔2013〕29号，发改价格〔2009〕1779号，辽政发〔2010〕18号，省政府令第234号(2009年7月11日发布)，辽财综〔2004〕67号，辽财非〔2009〕546号，辽价发〔2011〕100号，辽政发〔2016〕27号。按财综〔2010〕57号文件规定，对中小学校“校舍安全工程”予以免征，按沈委发〔2017〕29号，免收建筑基坑降水水资源费，沈房发〔2014〕41号，对保障性住房免收。</w:t>
            </w:r>
          </w:p>
        </w:tc>
        <w:tc>
          <w:tcPr>
            <w:tcW w:w="73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w:t>
            </w:r>
            <w:bookmarkStart w:id="0" w:name="_GoBack"/>
            <w:bookmarkEnd w:id="0"/>
            <w:r>
              <w:rPr>
                <w:rFonts w:hint="eastAsia" w:ascii="仿宋_GB2312" w:hAnsi="宋体" w:eastAsia="仿宋_GB2312"/>
                <w:kern w:val="0"/>
                <w:sz w:val="18"/>
              </w:rPr>
              <w:t>央</w:t>
            </w:r>
          </w:p>
        </w:tc>
        <w:tc>
          <w:tcPr>
            <w:tcW w:w="175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31605662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 xml:space="preserve"> ②保护区和管网区地下水：居民生活和自来水公司取水0.8元/立方米；非居民取水1.2元/立方米；特业取水10元/立方米。</w:t>
            </w:r>
          </w:p>
        </w:tc>
        <w:tc>
          <w:tcPr>
            <w:tcW w:w="294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 xml:space="preserve"> ③地热水、矿泉水：居民生活取水1.2元/立方米；非居民取水2元/立方米；特业取水10元/立方米。</w:t>
            </w:r>
          </w:p>
        </w:tc>
        <w:tc>
          <w:tcPr>
            <w:tcW w:w="294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 xml:space="preserve"> ④ 地表水：居民生活和自来水公司取水0.2元/立方米；非居民取水0.5元/立方米；特业取水4元/立方米。</w:t>
            </w:r>
          </w:p>
        </w:tc>
        <w:tc>
          <w:tcPr>
            <w:tcW w:w="294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⑤水利工程取水：0.05元/立方米。</w:t>
            </w:r>
          </w:p>
        </w:tc>
        <w:tc>
          <w:tcPr>
            <w:tcW w:w="294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⑥水电站取水：装机容量50兆瓦以上（含本数）0.008元/千瓦小时；装机容量50兆瓦以下0.005元/千瓦小时。</w:t>
            </w:r>
          </w:p>
        </w:tc>
        <w:tc>
          <w:tcPr>
            <w:tcW w:w="294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⑦疏干排水取水：直接排放0.1元/立方米，再利用0.2元/立方米。</w:t>
            </w:r>
          </w:p>
        </w:tc>
        <w:tc>
          <w:tcPr>
            <w:tcW w:w="294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2" w:hRule="atLeast"/>
        </w:trPr>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nil"/>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nil"/>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14.水土保持补偿费</w:t>
            </w:r>
          </w:p>
        </w:tc>
        <w:tc>
          <w:tcPr>
            <w:tcW w:w="5250" w:type="dxa"/>
            <w:tcBorders>
              <w:top w:val="single" w:color="auto" w:sz="4" w:space="0"/>
              <w:left w:val="nil"/>
              <w:bottom w:val="single" w:color="auto" w:sz="8" w:space="0"/>
              <w:right w:val="single" w:color="auto" w:sz="8" w:space="0"/>
              <w:tl2br w:val="nil"/>
              <w:tr2bl w:val="nil"/>
            </w:tcBorders>
            <w:noWrap w:val="0"/>
            <w:vAlign w:val="center"/>
          </w:tcPr>
          <w:p>
            <w:pPr>
              <w:spacing w:beforeLines="0" w:afterLines="0"/>
              <w:rPr>
                <w:rFonts w:hint="default" w:ascii="仿宋_GB2312" w:hAnsi="宋体" w:eastAsia="仿宋_GB2312"/>
                <w:kern w:val="0"/>
                <w:sz w:val="18"/>
              </w:rPr>
            </w:pPr>
            <w:r>
              <w:rPr>
                <w:rFonts w:hint="eastAsia" w:ascii="仿宋_GB2312" w:hAnsi="宋体" w:eastAsia="仿宋_GB2312"/>
                <w:kern w:val="0"/>
                <w:sz w:val="18"/>
              </w:rPr>
              <w:t>①对一般性生产建设项目和开采矿产资源建设期间，按征占用地面积一次性计征，每平方米0.5-1.0元，其中林地（无工程果园）1.0元、疏林地0.8元；草地、荒地林草覆盖率70%以上的1.0元、70%-30%的0.8元、30%以下的0.5元；耕地0.5元；河滩、海滩及扰动原有路面、建筑物0.5元。对水利水电工程建设项目、水库淹没区不在计征范围之内。②开采矿产资源的，开采期间，石油、天然气以外的矿产资源按照产生的废弃土、石、渣量计征。收费标准为每平方米0.95元，石油、天然气根据油、气生产井（不包括水井、勘探井）占地面积按不超过2000平方米计算，对丛式井每增加1口井，增加计征面积按不超过400方米计算，每平方米每年收费不超过1.0元。③取土、挖沙（河道采沙除外）、采石以及烧制砖、瓦、石灰的，根据取土、挖砂、采石量按照每立方米0.95元计征。对缴纳义务人已按前两种方式计征水土保持补偿费的，不再重复计征。④排放废弃土、石、渣的，根据土、石、渣量，按照每立方米0.95元计征。对缴纳义务人已按前三种方式计征水土保持补偿费的，不再重复计征。</w:t>
            </w:r>
          </w:p>
          <w:p>
            <w:pPr>
              <w:spacing w:beforeLines="0" w:afterLines="0"/>
              <w:rPr>
                <w:rFonts w:hint="default" w:ascii="仿宋_GB2312" w:hAnsi="宋体" w:eastAsia="仿宋_GB2312"/>
                <w:kern w:val="0"/>
                <w:sz w:val="18"/>
              </w:rPr>
            </w:pPr>
          </w:p>
        </w:tc>
        <w:tc>
          <w:tcPr>
            <w:tcW w:w="2940" w:type="dxa"/>
            <w:tcBorders>
              <w:top w:val="single" w:color="auto" w:sz="8" w:space="0"/>
              <w:left w:val="nil"/>
              <w:bottom w:val="nil"/>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《水土保持法》，财综〔2014〕8号，辽财非〔2014〕277号，辽价发〔2018〕56号</w:t>
            </w:r>
          </w:p>
        </w:tc>
        <w:tc>
          <w:tcPr>
            <w:tcW w:w="735" w:type="dxa"/>
            <w:tcBorders>
              <w:top w:val="single" w:color="auto" w:sz="8" w:space="0"/>
              <w:left w:val="nil"/>
              <w:bottom w:val="nil"/>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tcBorders>
              <w:top w:val="single" w:color="auto" w:sz="8" w:space="0"/>
              <w:left w:val="nil"/>
              <w:bottom w:val="nil"/>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88536791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080" w:type="dxa"/>
            <w:vMerge w:val="restart"/>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九</w:t>
            </w:r>
          </w:p>
        </w:tc>
        <w:tc>
          <w:tcPr>
            <w:tcW w:w="1080" w:type="dxa"/>
            <w:vMerge w:val="restart"/>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市场</w:t>
            </w:r>
          </w:p>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监督</w:t>
            </w:r>
          </w:p>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管理</w:t>
            </w:r>
          </w:p>
        </w:tc>
        <w:tc>
          <w:tcPr>
            <w:tcW w:w="121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15.特种设备检验检测收费</w:t>
            </w:r>
          </w:p>
        </w:tc>
        <w:tc>
          <w:tcPr>
            <w:tcW w:w="5250"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　</w:t>
            </w:r>
          </w:p>
        </w:tc>
        <w:tc>
          <w:tcPr>
            <w:tcW w:w="2940" w:type="dxa"/>
            <w:vMerge w:val="restart"/>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发改价格〔2015〕1299号，发改价格〔2009〕2312号，计价格〔1997〕1707号，计价费〔1996〕1500号，计价格〔1995〕339号，〔1992〕价费字268号，辽价发〔2010〕115号，财综〔2011〕16号，财综〔2001〕10号，财预〔2003〕470号，财综〔2001〕32号，财预〔2002〕584号，财综〔2010〕77号，辽财非〔2015〕1006号，辽发改办〔2013〕631号，辽价发〔2017〕97号。依据沈政发〔2016〕15号规定，证照费，建委征收特种设备大修、改造、安装方案备案审查费、使用（注册）登记费，安监局征收的安全监察人员培训费、安全监察人员考核费免征。</w:t>
            </w:r>
          </w:p>
        </w:tc>
        <w:tc>
          <w:tcPr>
            <w:tcW w:w="735" w:type="dxa"/>
            <w:vMerge w:val="restart"/>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中央</w:t>
            </w:r>
          </w:p>
        </w:tc>
        <w:tc>
          <w:tcPr>
            <w:tcW w:w="1755" w:type="dxa"/>
            <w:vMerge w:val="restart"/>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24011069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1080"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(1)特种设备检验检测收费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辽价发〔2017〕97号</w:t>
            </w:r>
          </w:p>
        </w:tc>
        <w:tc>
          <w:tcPr>
            <w:tcW w:w="2940"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1080"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080"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21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(2)特种设备作业人员考核收费</w:t>
            </w:r>
          </w:p>
        </w:tc>
        <w:tc>
          <w:tcPr>
            <w:tcW w:w="525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辽价发〔2017〕97号</w:t>
            </w:r>
          </w:p>
        </w:tc>
        <w:tc>
          <w:tcPr>
            <w:tcW w:w="2940"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73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c>
          <w:tcPr>
            <w:tcW w:w="1755" w:type="dxa"/>
            <w:vMerge w:val="continue"/>
            <w:tcBorders>
              <w:top w:val="single" w:color="auto" w:sz="8" w:space="0"/>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64655"/>
    <w:rsid w:val="19964655"/>
    <w:rsid w:val="7FF75D07"/>
    <w:rsid w:val="C78B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jc w:val="both"/>
    </w:pPr>
    <w:rPr>
      <w:rFonts w:hint="eastAsia"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rPr>
  </w:style>
  <w:style w:type="character" w:styleId="5">
    <w:name w:val="page number"/>
    <w:basedOn w:val="4"/>
    <w:unhideWhenUsed/>
    <w:qFormat/>
    <w:uiPriority w:val="99"/>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2019-09-06T10:19:00Z</dcterms:created>
  <dc:creator>Administrator</dc:creator>
  <cp:lastModifiedBy>zfb</cp:lastModifiedBy>
  <dcterms:modified xsi:type="dcterms:W3CDTF">2024-02-21T13:33:10Z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