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val="0"/>
        <w:kinsoku/>
        <w:wordWrap/>
        <w:overflowPunct/>
        <w:topLinePunct w:val="0"/>
        <w:autoSpaceDE/>
        <w:autoSpaceDN/>
        <w:bidi w:val="0"/>
        <w:adjustRightInd/>
        <w:snapToGrid/>
        <w:spacing w:beforeLines="0" w:afterLines="0" w:line="600" w:lineRule="exact"/>
        <w:jc w:val="center"/>
        <w:textAlignment w:val="auto"/>
        <w:rPr>
          <w:rFonts w:hint="eastAsia" w:ascii="仿宋_GB2312" w:hAnsi="仿宋_GB2312" w:eastAsia="仿宋_GB2312" w:cs="仿宋_GB2312"/>
          <w:color w:val="auto"/>
          <w:kern w:val="21"/>
          <w:sz w:val="32"/>
          <w:szCs w:val="32"/>
          <w:highlight w:val="none"/>
        </w:rPr>
      </w:pPr>
    </w:p>
    <w:p>
      <w:pPr>
        <w:keepNext w:val="0"/>
        <w:keepLines w:val="0"/>
        <w:pageBreakBefore w:val="0"/>
        <w:widowControl w:val="0"/>
        <w:suppressAutoHyphens w:val="0"/>
        <w:kinsoku/>
        <w:wordWrap/>
        <w:overflowPunct/>
        <w:topLinePunct w:val="0"/>
        <w:autoSpaceDE/>
        <w:autoSpaceDN/>
        <w:bidi w:val="0"/>
        <w:adjustRightInd/>
        <w:snapToGrid/>
        <w:spacing w:beforeLines="0" w:afterLines="0" w:line="600" w:lineRule="exact"/>
        <w:jc w:val="center"/>
        <w:textAlignment w:val="auto"/>
        <w:rPr>
          <w:rFonts w:hint="eastAsia" w:ascii="仿宋_GB2312" w:hAnsi="仿宋_GB2312" w:eastAsia="仿宋_GB2312" w:cs="仿宋_GB2312"/>
          <w:color w:val="auto"/>
          <w:kern w:val="21"/>
          <w:sz w:val="32"/>
          <w:szCs w:val="32"/>
          <w:highlight w:val="none"/>
        </w:rPr>
      </w:pPr>
    </w:p>
    <w:p>
      <w:pPr>
        <w:keepNext w:val="0"/>
        <w:keepLines w:val="0"/>
        <w:pageBreakBefore w:val="0"/>
        <w:widowControl w:val="0"/>
        <w:suppressAutoHyphens w:val="0"/>
        <w:kinsoku/>
        <w:wordWrap/>
        <w:overflowPunct/>
        <w:topLinePunct w:val="0"/>
        <w:autoSpaceDE/>
        <w:autoSpaceDN/>
        <w:bidi w:val="0"/>
        <w:adjustRightInd/>
        <w:snapToGrid/>
        <w:spacing w:beforeLines="0" w:afterLines="0" w:line="600" w:lineRule="exact"/>
        <w:ind w:left="0" w:leftChars="0" w:firstLine="0" w:firstLineChars="0"/>
        <w:jc w:val="center"/>
        <w:textAlignment w:val="auto"/>
        <w:rPr>
          <w:rFonts w:hint="eastAsia" w:ascii="方正小标宋简体" w:hAnsi="方正小标宋简体" w:eastAsia="方正小标宋简体" w:cs="方正小标宋简体"/>
          <w:color w:val="auto"/>
          <w:kern w:val="21"/>
          <w:sz w:val="44"/>
          <w:szCs w:val="52"/>
          <w:highlight w:val="none"/>
        </w:rPr>
      </w:pPr>
      <w:r>
        <w:rPr>
          <w:rFonts w:hint="eastAsia" w:ascii="方正小标宋简体" w:hAnsi="方正小标宋简体" w:eastAsia="方正小标宋简体" w:cs="方正小标宋简体"/>
          <w:color w:val="auto"/>
          <w:kern w:val="21"/>
          <w:sz w:val="44"/>
          <w:szCs w:val="52"/>
          <w:highlight w:val="none"/>
        </w:rPr>
        <w:t>沈阳市高标准农田建设管理</w:t>
      </w:r>
      <w:r>
        <w:rPr>
          <w:rFonts w:hint="eastAsia" w:ascii="方正小标宋简体" w:hAnsi="方正小标宋简体" w:eastAsia="方正小标宋简体" w:cs="方正小标宋简体"/>
          <w:color w:val="auto"/>
          <w:kern w:val="21"/>
          <w:sz w:val="44"/>
          <w:szCs w:val="52"/>
          <w:highlight w:val="none"/>
          <w:lang w:eastAsia="zh-CN"/>
        </w:rPr>
        <w:t>暂行</w:t>
      </w:r>
      <w:r>
        <w:rPr>
          <w:rFonts w:hint="eastAsia" w:ascii="方正小标宋简体" w:hAnsi="方正小标宋简体" w:eastAsia="方正小标宋简体" w:cs="方正小标宋简体"/>
          <w:color w:val="auto"/>
          <w:kern w:val="21"/>
          <w:sz w:val="44"/>
          <w:szCs w:val="52"/>
          <w:highlight w:val="none"/>
        </w:rPr>
        <w:t>规定</w:t>
      </w:r>
    </w:p>
    <w:p>
      <w:pPr>
        <w:pStyle w:val="2"/>
        <w:keepNext w:val="0"/>
        <w:keepLines w:val="0"/>
        <w:pageBreakBefore w:val="0"/>
        <w:wordWrap/>
        <w:overflowPunct/>
        <w:topLinePunct w:val="0"/>
        <w:bidi w:val="0"/>
        <w:spacing w:line="600" w:lineRule="exact"/>
        <w:ind w:left="0" w:leftChars="0" w:firstLine="0" w:firstLineChars="0"/>
        <w:jc w:val="center"/>
        <w:rPr>
          <w:rFonts w:hint="eastAsia" w:ascii="仿宋" w:hAnsi="仿宋" w:eastAsia="仿宋" w:cs="仿宋"/>
          <w:color w:val="auto"/>
          <w:sz w:val="32"/>
          <w:szCs w:val="32"/>
          <w:lang w:eastAsia="zh-CN"/>
        </w:rPr>
      </w:pPr>
      <w:r>
        <w:rPr>
          <w:rFonts w:hint="eastAsia" w:ascii="仿宋" w:hAnsi="仿宋" w:eastAsia="仿宋" w:cs="仿宋"/>
          <w:color w:val="auto"/>
          <w:kern w:val="21"/>
          <w:sz w:val="32"/>
          <w:szCs w:val="32"/>
          <w:highlight w:val="none"/>
          <w:lang w:eastAsia="zh-CN"/>
        </w:rPr>
        <w:t>（</w:t>
      </w:r>
      <w:r>
        <w:rPr>
          <w:rFonts w:hint="eastAsia" w:ascii="仿宋" w:hAnsi="仿宋" w:eastAsia="仿宋" w:cs="仿宋"/>
          <w:color w:val="auto"/>
          <w:kern w:val="21"/>
          <w:sz w:val="32"/>
          <w:szCs w:val="32"/>
          <w:highlight w:val="none"/>
          <w:lang w:val="en-US" w:eastAsia="zh-CN"/>
        </w:rPr>
        <w:t xml:space="preserve">2023年8月3日沈阳市人民政府令第95号公布 </w:t>
      </w:r>
      <w:r>
        <w:rPr>
          <w:rFonts w:hint="eastAsia" w:ascii="仿宋_GB2312" w:hAnsi="仿宋_GB2312" w:eastAsia="仿宋_GB2312" w:cs="仿宋_GB2312"/>
          <w:color w:val="auto"/>
          <w:kern w:val="21"/>
          <w:sz w:val="32"/>
          <w:szCs w:val="32"/>
          <w:highlight w:val="none"/>
          <w:lang w:val="en-US" w:eastAsia="zh-CN"/>
        </w:rPr>
        <w:t>本规定自2023年10月1日起施行</w:t>
      </w:r>
      <w:r>
        <w:rPr>
          <w:rFonts w:hint="eastAsia" w:ascii="仿宋" w:hAnsi="仿宋" w:eastAsia="仿宋" w:cs="仿宋"/>
          <w:color w:val="auto"/>
          <w:kern w:val="21"/>
          <w:sz w:val="32"/>
          <w:szCs w:val="32"/>
          <w:highlight w:val="none"/>
          <w:lang w:eastAsia="zh-CN"/>
        </w:rPr>
        <w:t>）</w:t>
      </w:r>
    </w:p>
    <w:p>
      <w:pPr>
        <w:pStyle w:val="11"/>
        <w:keepNext w:val="0"/>
        <w:keepLines w:val="0"/>
        <w:pageBreakBefore w:val="0"/>
        <w:widowControl w:val="0"/>
        <w:suppressAutoHyphens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黑体" w:hAnsi="黑体" w:eastAsia="黑体" w:cs="黑体"/>
          <w:color w:val="auto"/>
          <w:kern w:val="21"/>
          <w:sz w:val="32"/>
          <w:szCs w:val="32"/>
          <w:highlight w:val="none"/>
        </w:rPr>
      </w:pPr>
    </w:p>
    <w:p>
      <w:pPr>
        <w:pStyle w:val="11"/>
        <w:keepNext w:val="0"/>
        <w:keepLines w:val="0"/>
        <w:pageBreakBefore w:val="0"/>
        <w:widowControl w:val="0"/>
        <w:suppressAutoHyphens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仿宋_GB2312" w:hAnsi="仿宋_GB2312" w:eastAsia="仿宋_GB2312" w:cs="仿宋_GB2312"/>
          <w:color w:val="auto"/>
          <w:kern w:val="21"/>
          <w:sz w:val="32"/>
          <w:szCs w:val="32"/>
          <w:highlight w:val="none"/>
        </w:rPr>
      </w:pPr>
      <w:r>
        <w:rPr>
          <w:rFonts w:hint="eastAsia" w:ascii="黑体" w:hAnsi="黑体" w:eastAsia="黑体" w:cs="黑体"/>
          <w:color w:val="auto"/>
          <w:kern w:val="21"/>
          <w:sz w:val="32"/>
          <w:szCs w:val="32"/>
          <w:highlight w:val="none"/>
        </w:rPr>
        <w:t>第一条</w:t>
      </w:r>
      <w:r>
        <w:rPr>
          <w:rFonts w:hint="eastAsia" w:ascii="仿宋_GB2312" w:hAnsi="仿宋_GB2312" w:eastAsia="仿宋_GB2312" w:cs="仿宋_GB2312"/>
          <w:color w:val="auto"/>
          <w:kern w:val="21"/>
          <w:sz w:val="32"/>
          <w:szCs w:val="32"/>
          <w:highlight w:val="none"/>
        </w:rPr>
        <w:t xml:space="preserve"> </w:t>
      </w:r>
      <w:r>
        <w:rPr>
          <w:rFonts w:hint="eastAsia" w:ascii="仿宋_GB2312" w:hAnsi="仿宋_GB2312" w:eastAsia="仿宋_GB2312" w:cs="仿宋_GB2312"/>
          <w:color w:val="auto"/>
          <w:kern w:val="21"/>
          <w:sz w:val="32"/>
          <w:szCs w:val="32"/>
          <w:highlight w:val="none"/>
          <w:lang w:eastAsia="zh-CN"/>
        </w:rPr>
        <w:t>为了规范和加强高标准农田建设管理，推动本市高标准农田建设高质量发展</w:t>
      </w:r>
      <w:r>
        <w:rPr>
          <w:rFonts w:hint="eastAsia" w:ascii="仿宋_GB2312" w:hAnsi="仿宋_GB2312" w:eastAsia="仿宋_GB2312" w:cs="仿宋_GB2312"/>
          <w:color w:val="auto"/>
          <w:kern w:val="21"/>
          <w:sz w:val="32"/>
          <w:szCs w:val="32"/>
          <w:highlight w:val="none"/>
        </w:rPr>
        <w:t>，</w:t>
      </w:r>
      <w:r>
        <w:rPr>
          <w:rFonts w:hint="eastAsia" w:ascii="仿宋_GB2312" w:hAnsi="仿宋_GB2312" w:eastAsia="仿宋_GB2312" w:cs="仿宋_GB2312"/>
          <w:color w:val="auto"/>
          <w:kern w:val="21"/>
          <w:sz w:val="32"/>
          <w:szCs w:val="32"/>
          <w:highlight w:val="none"/>
          <w:lang w:eastAsia="zh-CN"/>
        </w:rPr>
        <w:t>根据《中华人民共和国农业法》《中华人民共和国黑土地保护法》等法律、法规，</w:t>
      </w:r>
      <w:r>
        <w:rPr>
          <w:rFonts w:hint="eastAsia" w:ascii="Times New Roman" w:hAnsi="Times New Roman" w:eastAsia="仿宋_GB2312" w:cs="Times New Roman"/>
          <w:i w:val="0"/>
          <w:caps w:val="0"/>
          <w:color w:val="auto"/>
          <w:spacing w:val="0"/>
          <w:kern w:val="21"/>
          <w:sz w:val="32"/>
          <w:szCs w:val="32"/>
          <w:highlight w:val="none"/>
          <w:lang w:eastAsia="zh-CN"/>
        </w:rPr>
        <w:t>结合本市实际，</w:t>
      </w:r>
      <w:r>
        <w:rPr>
          <w:rFonts w:hint="eastAsia" w:ascii="仿宋_GB2312" w:hAnsi="仿宋_GB2312" w:eastAsia="仿宋_GB2312" w:cs="仿宋_GB2312"/>
          <w:color w:val="auto"/>
          <w:kern w:val="21"/>
          <w:sz w:val="32"/>
          <w:szCs w:val="32"/>
          <w:highlight w:val="none"/>
        </w:rPr>
        <w:t>制定本规定。</w:t>
      </w:r>
    </w:p>
    <w:p>
      <w:pPr>
        <w:keepNext w:val="0"/>
        <w:keepLines w:val="0"/>
        <w:pageBreakBefore w:val="0"/>
        <w:widowControl w:val="0"/>
        <w:suppressLineNumbers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color w:val="auto"/>
          <w:lang w:val="en-US" w:eastAsia="zh-CN"/>
        </w:rPr>
      </w:pPr>
      <w:r>
        <w:rPr>
          <w:rFonts w:hint="eastAsia" w:ascii="黑体" w:hAnsi="黑体" w:eastAsia="黑体" w:cs="黑体"/>
          <w:color w:val="auto"/>
          <w:kern w:val="21"/>
          <w:sz w:val="32"/>
          <w:szCs w:val="32"/>
          <w:highlight w:val="none"/>
          <w:lang w:eastAsia="zh-CN"/>
        </w:rPr>
        <w:t>第二条</w:t>
      </w:r>
      <w:r>
        <w:rPr>
          <w:rFonts w:hint="eastAsia" w:ascii="黑体" w:hAnsi="黑体" w:eastAsia="黑体" w:cs="黑体"/>
          <w:color w:val="auto"/>
          <w:kern w:val="21"/>
          <w:sz w:val="32"/>
          <w:szCs w:val="32"/>
          <w:highlight w:val="none"/>
          <w:lang w:val="en-US" w:eastAsia="zh-CN"/>
        </w:rPr>
        <w:t xml:space="preserve"> </w:t>
      </w:r>
      <w:r>
        <w:rPr>
          <w:rFonts w:hint="default" w:ascii="仿宋_GB2312" w:hAnsi="仿宋_GB2312" w:eastAsia="仿宋_GB2312" w:cs="仿宋_GB2312"/>
          <w:color w:val="auto"/>
          <w:kern w:val="21"/>
          <w:sz w:val="32"/>
          <w:szCs w:val="32"/>
          <w:highlight w:val="none"/>
          <w:lang w:val="en-US" w:eastAsia="zh-CN" w:bidi="ar"/>
        </w:rPr>
        <w:t>本市行政区域内</w:t>
      </w:r>
      <w:r>
        <w:rPr>
          <w:rFonts w:hint="eastAsia" w:ascii="仿宋_GB2312" w:hAnsi="仿宋_GB2312" w:eastAsia="仿宋_GB2312" w:cs="仿宋_GB2312"/>
          <w:color w:val="auto"/>
          <w:kern w:val="21"/>
          <w:sz w:val="32"/>
          <w:szCs w:val="32"/>
          <w:highlight w:val="none"/>
          <w:lang w:val="en-US" w:eastAsia="zh-CN" w:bidi="ar"/>
        </w:rPr>
        <w:t>高标准农田的新建、</w:t>
      </w:r>
      <w:r>
        <w:rPr>
          <w:rFonts w:hint="eastAsia" w:ascii="仿宋_GB2312" w:hAnsi="仿宋_GB2312" w:eastAsia="仿宋_GB2312" w:cs="仿宋_GB2312"/>
          <w:color w:val="auto"/>
          <w:spacing w:val="0"/>
          <w:kern w:val="21"/>
          <w:sz w:val="32"/>
          <w:szCs w:val="32"/>
          <w:highlight w:val="none"/>
          <w:lang w:bidi="ar"/>
        </w:rPr>
        <w:t>改造提升</w:t>
      </w:r>
      <w:r>
        <w:rPr>
          <w:rFonts w:hint="eastAsia" w:ascii="仿宋_GB2312" w:hAnsi="仿宋_GB2312" w:eastAsia="仿宋_GB2312" w:cs="仿宋_GB2312"/>
          <w:color w:val="auto"/>
          <w:kern w:val="21"/>
          <w:sz w:val="32"/>
          <w:szCs w:val="32"/>
          <w:highlight w:val="none"/>
          <w:lang w:val="en-US" w:eastAsia="zh-CN" w:bidi="ar"/>
        </w:rPr>
        <w:t>及其相关管理工作，</w:t>
      </w:r>
      <w:r>
        <w:rPr>
          <w:rFonts w:hint="eastAsia" w:ascii="仿宋_GB2312" w:hAnsi="仿宋_GB2312" w:eastAsia="仿宋_GB2312" w:cs="仿宋_GB2312"/>
          <w:color w:val="auto"/>
          <w:spacing w:val="0"/>
          <w:kern w:val="21"/>
          <w:sz w:val="32"/>
          <w:szCs w:val="32"/>
          <w:highlight w:val="none"/>
          <w:lang w:eastAsia="zh-CN" w:bidi="ar"/>
        </w:rPr>
        <w:t>适用本规定。</w:t>
      </w:r>
    </w:p>
    <w:p>
      <w:pPr>
        <w:keepNext w:val="0"/>
        <w:keepLines w:val="0"/>
        <w:pageBreakBefore w:val="0"/>
        <w:widowControl/>
        <w:suppressLineNumbers w:val="0"/>
        <w:wordWrap/>
        <w:overflowPunct/>
        <w:topLinePunct w:val="0"/>
        <w:bidi w:val="0"/>
        <w:spacing w:line="600" w:lineRule="exact"/>
        <w:ind w:firstLine="640" w:firstLineChars="200"/>
        <w:jc w:val="left"/>
        <w:rPr>
          <w:rFonts w:hint="eastAsia" w:ascii="仿宋_GB2312" w:hAnsi="仿宋_GB2312" w:eastAsia="仿宋_GB2312" w:cs="仿宋_GB2312"/>
          <w:color w:val="auto"/>
          <w:kern w:val="21"/>
          <w:sz w:val="32"/>
          <w:szCs w:val="32"/>
          <w:highlight w:val="none"/>
          <w:lang w:val="en-US" w:eastAsia="zh-CN" w:bidi="ar"/>
        </w:rPr>
      </w:pPr>
      <w:r>
        <w:rPr>
          <w:rFonts w:hint="eastAsia" w:ascii="黑体" w:hAnsi="黑体" w:eastAsia="黑体" w:cs="黑体"/>
          <w:color w:val="auto"/>
          <w:kern w:val="21"/>
          <w:sz w:val="32"/>
          <w:szCs w:val="32"/>
          <w:highlight w:val="none"/>
          <w:lang w:eastAsia="zh-CN"/>
        </w:rPr>
        <w:t>第三条</w:t>
      </w:r>
      <w:r>
        <w:rPr>
          <w:rFonts w:hint="eastAsia" w:ascii="黑体" w:hAnsi="黑体" w:eastAsia="黑体" w:cs="黑体"/>
          <w:color w:val="auto"/>
          <w:kern w:val="21"/>
          <w:sz w:val="32"/>
          <w:szCs w:val="32"/>
          <w:highlight w:val="none"/>
          <w:lang w:val="en-US" w:eastAsia="zh-CN"/>
        </w:rPr>
        <w:t xml:space="preserve"> </w:t>
      </w:r>
      <w:r>
        <w:rPr>
          <w:rFonts w:hint="eastAsia" w:ascii="仿宋_GB2312" w:hAnsi="仿宋_GB2312" w:eastAsia="仿宋_GB2312" w:cs="仿宋_GB2312"/>
          <w:color w:val="auto"/>
          <w:kern w:val="21"/>
          <w:sz w:val="32"/>
          <w:szCs w:val="32"/>
          <w:highlight w:val="none"/>
          <w:lang w:val="en-US" w:eastAsia="zh-CN" w:bidi="ar"/>
        </w:rPr>
        <w:t>本规定所称高标准农田，是指田块平整、集中连片、设施完善、节水高效、农电配套、宜机作业、土壤肥沃、生态友好、抗灾能力强，与现代农业生产和经营方式相适应的旱涝保收、稳产高产的耕地。</w:t>
      </w:r>
    </w:p>
    <w:p>
      <w:pPr>
        <w:pStyle w:val="11"/>
        <w:keepNext w:val="0"/>
        <w:keepLines w:val="0"/>
        <w:pageBreakBefore w:val="0"/>
        <w:widowControl w:val="0"/>
        <w:numPr>
          <w:ilvl w:val="0"/>
          <w:numId w:val="0"/>
        </w:numPr>
        <w:suppressAutoHyphens w:val="0"/>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auto"/>
        <w:rPr>
          <w:rFonts w:hint="eastAsia" w:ascii="仿宋_GB2312" w:hAnsi="仿宋_GB2312" w:eastAsia="仿宋_GB2312" w:cs="仿宋_GB2312"/>
          <w:color w:val="auto"/>
          <w:kern w:val="21"/>
          <w:sz w:val="32"/>
          <w:szCs w:val="32"/>
          <w:highlight w:val="none"/>
          <w:lang w:val="en-US" w:eastAsia="zh-CN" w:bidi="ar"/>
        </w:rPr>
      </w:pPr>
      <w:r>
        <w:rPr>
          <w:rFonts w:hint="eastAsia" w:ascii="黑体" w:hAnsi="黑体" w:eastAsia="黑体" w:cs="黑体"/>
          <w:color w:val="auto"/>
          <w:kern w:val="21"/>
          <w:sz w:val="32"/>
          <w:szCs w:val="32"/>
          <w:highlight w:val="none"/>
          <w:lang w:eastAsia="zh-CN"/>
        </w:rPr>
        <w:t>第四条</w:t>
      </w:r>
      <w:r>
        <w:rPr>
          <w:rFonts w:hint="eastAsia" w:ascii="黑体" w:hAnsi="黑体" w:eastAsia="黑体" w:cs="黑体"/>
          <w:color w:val="auto"/>
          <w:kern w:val="21"/>
          <w:sz w:val="32"/>
          <w:szCs w:val="32"/>
          <w:highlight w:val="none"/>
          <w:lang w:val="en-US" w:eastAsia="zh-CN"/>
        </w:rPr>
        <w:t xml:space="preserve"> </w:t>
      </w:r>
      <w:r>
        <w:rPr>
          <w:rFonts w:hint="eastAsia" w:ascii="仿宋_GB2312" w:hAnsi="仿宋_GB2312" w:eastAsia="仿宋_GB2312" w:cs="仿宋_GB2312"/>
          <w:color w:val="auto"/>
          <w:kern w:val="21"/>
          <w:sz w:val="32"/>
          <w:szCs w:val="32"/>
          <w:highlight w:val="none"/>
          <w:lang w:eastAsia="zh-CN"/>
        </w:rPr>
        <w:t>高标准农田建设应当遵循政府主导、多元参与、优化投入、因地制宜、建管并重</w:t>
      </w:r>
      <w:r>
        <w:rPr>
          <w:rFonts w:hint="eastAsia" w:ascii="仿宋_GB2312" w:hAnsi="仿宋_GB2312" w:eastAsia="仿宋_GB2312" w:cs="仿宋_GB2312"/>
          <w:color w:val="auto"/>
          <w:kern w:val="21"/>
          <w:sz w:val="32"/>
          <w:szCs w:val="32"/>
          <w:highlight w:val="none"/>
          <w:lang w:val="en-US" w:eastAsia="zh-CN" w:bidi="ar"/>
        </w:rPr>
        <w:t>、注重质量、良田粮用、智能监管的基本原则。</w:t>
      </w:r>
    </w:p>
    <w:p>
      <w:pPr>
        <w:pStyle w:val="11"/>
        <w:keepNext w:val="0"/>
        <w:keepLines w:val="0"/>
        <w:pageBreakBefore w:val="0"/>
        <w:widowControl w:val="0"/>
        <w:suppressAutoHyphens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仿宋_GB2312" w:hAnsi="仿宋_GB2312" w:eastAsia="仿宋_GB2312" w:cs="仿宋_GB2312"/>
          <w:color w:val="auto"/>
          <w:kern w:val="21"/>
          <w:sz w:val="32"/>
          <w:szCs w:val="32"/>
          <w:highlight w:val="none"/>
          <w:lang w:eastAsia="zh-CN"/>
        </w:rPr>
      </w:pPr>
      <w:r>
        <w:rPr>
          <w:rFonts w:hint="eastAsia" w:ascii="黑体" w:hAnsi="黑体" w:eastAsia="黑体" w:cs="黑体"/>
          <w:color w:val="auto"/>
          <w:kern w:val="21"/>
          <w:sz w:val="32"/>
          <w:szCs w:val="32"/>
          <w:highlight w:val="none"/>
          <w:lang w:val="en-US" w:eastAsia="zh-CN"/>
        </w:rPr>
        <w:t xml:space="preserve">第五条 </w:t>
      </w:r>
      <w:r>
        <w:rPr>
          <w:rFonts w:hint="eastAsia" w:ascii="仿宋_GB2312" w:hAnsi="仿宋_GB2312" w:eastAsia="仿宋_GB2312" w:cs="仿宋_GB2312"/>
          <w:color w:val="auto"/>
          <w:kern w:val="21"/>
          <w:sz w:val="32"/>
          <w:szCs w:val="32"/>
          <w:highlight w:val="none"/>
          <w:lang w:val="en-US" w:eastAsia="zh-CN"/>
        </w:rPr>
        <w:t>市和</w:t>
      </w:r>
      <w:r>
        <w:rPr>
          <w:rFonts w:hint="eastAsia" w:ascii="仿宋_GB2312" w:hAnsi="仿宋_GB2312" w:eastAsia="仿宋_GB2312" w:cs="仿宋_GB2312"/>
          <w:color w:val="auto"/>
          <w:sz w:val="32"/>
          <w:szCs w:val="32"/>
          <w:highlight w:val="none"/>
        </w:rPr>
        <w:t>区、县（市）</w:t>
      </w:r>
      <w:r>
        <w:rPr>
          <w:rFonts w:hint="eastAsia" w:ascii="仿宋_GB2312" w:hAnsi="仿宋_GB2312" w:eastAsia="仿宋_GB2312" w:cs="仿宋_GB2312"/>
          <w:color w:val="auto"/>
          <w:kern w:val="21"/>
          <w:sz w:val="32"/>
          <w:szCs w:val="32"/>
          <w:highlight w:val="none"/>
          <w:lang w:eastAsia="zh-CN"/>
        </w:rPr>
        <w:t>人民</w:t>
      </w:r>
      <w:r>
        <w:rPr>
          <w:rFonts w:hint="eastAsia" w:ascii="仿宋_GB2312" w:hAnsi="仿宋_GB2312" w:eastAsia="仿宋_GB2312" w:cs="仿宋_GB2312"/>
          <w:color w:val="auto"/>
          <w:kern w:val="21"/>
          <w:sz w:val="32"/>
          <w:szCs w:val="32"/>
          <w:highlight w:val="none"/>
        </w:rPr>
        <w:t>政府</w:t>
      </w:r>
      <w:r>
        <w:rPr>
          <w:rFonts w:hint="eastAsia" w:ascii="仿宋_GB2312" w:hAnsi="仿宋_GB2312" w:eastAsia="仿宋_GB2312" w:cs="仿宋_GB2312"/>
          <w:color w:val="auto"/>
          <w:kern w:val="21"/>
          <w:sz w:val="32"/>
          <w:szCs w:val="32"/>
          <w:highlight w:val="none"/>
          <w:lang w:eastAsia="zh-CN"/>
        </w:rPr>
        <w:t>应当加强对高标准农田建设工作的组织领导，将其纳入国民经济和社会发展规划。</w:t>
      </w:r>
    </w:p>
    <w:p>
      <w:pPr>
        <w:pStyle w:val="11"/>
        <w:keepNext w:val="0"/>
        <w:keepLines w:val="0"/>
        <w:pageBreakBefore w:val="0"/>
        <w:widowControl w:val="0"/>
        <w:suppressAutoHyphens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color w:val="auto"/>
          <w:kern w:val="21"/>
          <w:sz w:val="32"/>
          <w:szCs w:val="32"/>
          <w:highlight w:val="none"/>
        </w:rPr>
        <w:t>乡镇人民政府、街道办事处应当</w:t>
      </w:r>
      <w:r>
        <w:rPr>
          <w:rFonts w:hint="eastAsia" w:ascii="仿宋_GB2312" w:hAnsi="仿宋_GB2312" w:eastAsia="仿宋_GB2312" w:cs="仿宋_GB2312"/>
          <w:color w:val="auto"/>
          <w:kern w:val="21"/>
          <w:sz w:val="32"/>
          <w:szCs w:val="32"/>
          <w:highlight w:val="none"/>
          <w:lang w:eastAsia="zh-CN"/>
        </w:rPr>
        <w:t>配合做好本辖区高标准农田建设相关工作，</w:t>
      </w:r>
      <w:r>
        <w:rPr>
          <w:rFonts w:hint="eastAsia" w:ascii="仿宋_GB2312" w:hAnsi="仿宋_GB2312" w:eastAsia="仿宋_GB2312" w:cs="仿宋_GB2312"/>
          <w:color w:val="auto"/>
          <w:kern w:val="21"/>
          <w:sz w:val="32"/>
          <w:szCs w:val="32"/>
          <w:highlight w:val="none"/>
        </w:rPr>
        <w:t>履行属地管理职责。</w:t>
      </w:r>
    </w:p>
    <w:p>
      <w:pPr>
        <w:pStyle w:val="11"/>
        <w:keepNext w:val="0"/>
        <w:keepLines w:val="0"/>
        <w:pageBreakBefore w:val="0"/>
        <w:widowControl w:val="0"/>
        <w:suppressAutoHyphens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default" w:ascii="仿宋_GB2312" w:hAnsi="仿宋_GB2312" w:eastAsia="仿宋_GB2312" w:cs="仿宋_GB2312"/>
          <w:color w:val="auto"/>
          <w:kern w:val="21"/>
          <w:sz w:val="32"/>
          <w:szCs w:val="32"/>
          <w:highlight w:val="none"/>
          <w:lang w:val="en-US" w:eastAsia="zh-CN"/>
        </w:rPr>
      </w:pPr>
      <w:r>
        <w:rPr>
          <w:rFonts w:hint="eastAsia" w:ascii="黑体" w:hAnsi="黑体" w:eastAsia="黑体" w:cs="黑体"/>
          <w:color w:val="auto"/>
          <w:kern w:val="21"/>
          <w:sz w:val="32"/>
          <w:szCs w:val="32"/>
          <w:highlight w:val="none"/>
          <w:lang w:eastAsia="zh-CN"/>
        </w:rPr>
        <w:t>第六条</w:t>
      </w:r>
      <w:r>
        <w:rPr>
          <w:rFonts w:hint="eastAsia" w:ascii="仿宋_GB2312" w:hAnsi="仿宋_GB2312" w:eastAsia="仿宋_GB2312" w:cs="仿宋_GB2312"/>
          <w:color w:val="auto"/>
          <w:kern w:val="21"/>
          <w:sz w:val="32"/>
          <w:szCs w:val="32"/>
          <w:highlight w:val="none"/>
          <w:lang w:val="en-US" w:eastAsia="zh-CN"/>
        </w:rPr>
        <w:t xml:space="preserve"> 市农业农村部门负责指导本市高标准农田建设工作，制定高标准农田建设规划和相关制度，对高标准农田建设项目进行监督检查。</w:t>
      </w:r>
    </w:p>
    <w:p>
      <w:pPr>
        <w:pStyle w:val="11"/>
        <w:keepNext w:val="0"/>
        <w:keepLines w:val="0"/>
        <w:pageBreakBefore w:val="0"/>
        <w:widowControl w:val="0"/>
        <w:suppressAutoHyphens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仿宋_GB2312" w:hAnsi="仿宋_GB2312" w:eastAsia="仿宋_GB2312" w:cs="仿宋_GB2312"/>
          <w:color w:val="auto"/>
          <w:kern w:val="21"/>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区、县（市）农业农村部门</w:t>
      </w:r>
      <w:r>
        <w:rPr>
          <w:rFonts w:hint="eastAsia" w:ascii="仿宋_GB2312" w:hAnsi="仿宋_GB2312" w:eastAsia="仿宋_GB2312" w:cs="仿宋_GB2312"/>
          <w:color w:val="auto"/>
          <w:kern w:val="21"/>
          <w:sz w:val="32"/>
          <w:szCs w:val="32"/>
          <w:highlight w:val="none"/>
          <w:lang w:val="en-US" w:eastAsia="zh-CN"/>
        </w:rPr>
        <w:t>负责本行政区域内高标准农田建设工作，制定县域高标准农田建设规划，开展全面初步设计，组织实施农田建设项目，报告项目进展情况，做好预算绩效管理具体工作，并开展日常监管。</w:t>
      </w:r>
    </w:p>
    <w:p>
      <w:pPr>
        <w:pStyle w:val="11"/>
        <w:keepNext w:val="0"/>
        <w:keepLines w:val="0"/>
        <w:pageBreakBefore w:val="0"/>
        <w:widowControl w:val="0"/>
        <w:suppressAutoHyphens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仿宋_GB2312" w:hAnsi="仿宋_GB2312" w:eastAsia="仿宋_GB2312" w:cs="仿宋_GB2312"/>
          <w:color w:val="auto"/>
          <w:kern w:val="21"/>
          <w:sz w:val="32"/>
          <w:szCs w:val="32"/>
          <w:highlight w:val="none"/>
          <w:lang w:eastAsia="zh-CN"/>
        </w:rPr>
      </w:pPr>
      <w:r>
        <w:rPr>
          <w:rFonts w:hint="eastAsia" w:ascii="仿宋_GB2312" w:hAnsi="仿宋_GB2312" w:eastAsia="仿宋_GB2312" w:cs="仿宋_GB2312"/>
          <w:color w:val="auto"/>
          <w:kern w:val="21"/>
          <w:sz w:val="32"/>
          <w:szCs w:val="32"/>
          <w:highlight w:val="none"/>
          <w:lang w:val="en-US" w:eastAsia="zh-CN"/>
        </w:rPr>
        <w:t>市和</w:t>
      </w:r>
      <w:r>
        <w:rPr>
          <w:rFonts w:hint="eastAsia" w:ascii="仿宋_GB2312" w:hAnsi="仿宋_GB2312" w:eastAsia="仿宋_GB2312" w:cs="仿宋_GB2312"/>
          <w:color w:val="auto"/>
          <w:sz w:val="32"/>
          <w:szCs w:val="32"/>
          <w:highlight w:val="none"/>
        </w:rPr>
        <w:t>区、县（市）</w:t>
      </w:r>
      <w:r>
        <w:rPr>
          <w:rFonts w:hint="eastAsia" w:ascii="仿宋_GB2312" w:hAnsi="仿宋_GB2312" w:eastAsia="仿宋_GB2312" w:cs="仿宋_GB2312"/>
          <w:color w:val="auto"/>
          <w:kern w:val="21"/>
          <w:sz w:val="32"/>
          <w:szCs w:val="32"/>
          <w:highlight w:val="none"/>
          <w:lang w:eastAsia="zh-CN"/>
        </w:rPr>
        <w:t>财政部门负责农田建设补助资金的预算分解下达、资金审核拨付、资金使用监督及预算绩效管理等工作。</w:t>
      </w:r>
    </w:p>
    <w:p>
      <w:pPr>
        <w:pStyle w:val="11"/>
        <w:keepNext w:val="0"/>
        <w:keepLines w:val="0"/>
        <w:pageBreakBefore w:val="0"/>
        <w:widowControl w:val="0"/>
        <w:suppressAutoHyphens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发展改革、工信、自然资源、生态环境、交通、水务等部门应当按照职责分工依法做好高标准农田建设相关工作。</w:t>
      </w:r>
    </w:p>
    <w:p>
      <w:pPr>
        <w:pStyle w:val="11"/>
        <w:keepNext w:val="0"/>
        <w:keepLines w:val="0"/>
        <w:pageBreakBefore w:val="0"/>
        <w:widowControl w:val="0"/>
        <w:numPr>
          <w:ilvl w:val="0"/>
          <w:numId w:val="0"/>
        </w:numPr>
        <w:suppressAutoHyphens w:val="0"/>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auto"/>
        <w:rPr>
          <w:rFonts w:hint="eastAsia" w:ascii="仿宋_GB2312" w:hAnsi="仿宋_GB2312" w:eastAsia="仿宋_GB2312" w:cs="仿宋_GB2312"/>
          <w:color w:val="auto"/>
          <w:kern w:val="21"/>
          <w:sz w:val="32"/>
          <w:szCs w:val="32"/>
          <w:highlight w:val="none"/>
          <w:lang w:val="en-US" w:eastAsia="zh-CN"/>
        </w:rPr>
      </w:pPr>
      <w:r>
        <w:rPr>
          <w:rFonts w:hint="eastAsia" w:ascii="黑体" w:hAnsi="黑体" w:eastAsia="黑体" w:cs="黑体"/>
          <w:color w:val="auto"/>
          <w:kern w:val="21"/>
          <w:sz w:val="32"/>
          <w:szCs w:val="32"/>
          <w:highlight w:val="none"/>
          <w:lang w:eastAsia="zh-CN"/>
        </w:rPr>
        <w:t>第七条</w:t>
      </w:r>
      <w:r>
        <w:rPr>
          <w:rFonts w:hint="eastAsia" w:ascii="黑体" w:hAnsi="黑体" w:eastAsia="黑体" w:cs="黑体"/>
          <w:b/>
          <w:bCs/>
          <w:color w:val="auto"/>
          <w:kern w:val="21"/>
          <w:sz w:val="32"/>
          <w:szCs w:val="32"/>
          <w:highlight w:val="none"/>
          <w:lang w:val="en-US" w:eastAsia="zh-CN"/>
        </w:rPr>
        <w:t xml:space="preserve"> </w:t>
      </w:r>
      <w:r>
        <w:rPr>
          <w:rFonts w:hint="eastAsia" w:ascii="仿宋_GB2312" w:hAnsi="仿宋_GB2312" w:eastAsia="仿宋_GB2312" w:cs="仿宋_GB2312"/>
          <w:color w:val="auto"/>
          <w:kern w:val="21"/>
          <w:sz w:val="32"/>
          <w:szCs w:val="32"/>
          <w:highlight w:val="none"/>
          <w:lang w:val="en-US" w:eastAsia="zh-CN"/>
        </w:rPr>
        <w:t>市和区、县（市）人民政府应当按照工程进度足额安排资金，保障资金及时支付。不得截留、滞留、挤占、挪用农田建设补助资金，做到专款专用。高标准农田建设项目不得由施工单位垫资建设。</w:t>
      </w:r>
    </w:p>
    <w:p>
      <w:pPr>
        <w:pStyle w:val="11"/>
        <w:keepNext w:val="0"/>
        <w:keepLines w:val="0"/>
        <w:pageBreakBefore w:val="0"/>
        <w:widowControl w:val="0"/>
        <w:numPr>
          <w:ilvl w:val="0"/>
          <w:numId w:val="0"/>
        </w:numPr>
        <w:suppressAutoHyphens w:val="0"/>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黑体" w:hAnsi="黑体" w:eastAsia="黑体" w:cs="黑体"/>
          <w:color w:val="auto"/>
          <w:kern w:val="21"/>
          <w:sz w:val="32"/>
          <w:szCs w:val="32"/>
          <w:highlight w:val="none"/>
          <w:lang w:eastAsia="zh-CN"/>
        </w:rPr>
        <w:t>第八条</w:t>
      </w:r>
      <w:r>
        <w:rPr>
          <w:rFonts w:hint="eastAsia" w:ascii="仿宋_GB2312" w:hAnsi="仿宋_GB2312" w:eastAsia="仿宋_GB2312" w:cs="仿宋_GB2312"/>
          <w:color w:val="auto"/>
          <w:kern w:val="21"/>
          <w:sz w:val="32"/>
          <w:szCs w:val="32"/>
          <w:highlight w:val="none"/>
          <w:lang w:val="en-US" w:eastAsia="zh-CN"/>
        </w:rPr>
        <w:t xml:space="preserve"> 市</w:t>
      </w:r>
      <w:r>
        <w:rPr>
          <w:rFonts w:hint="eastAsia" w:ascii="仿宋_GB2312" w:hAnsi="仿宋_GB2312" w:eastAsia="仿宋_GB2312" w:cs="仿宋_GB2312"/>
          <w:color w:val="auto"/>
          <w:kern w:val="0"/>
          <w:sz w:val="32"/>
          <w:szCs w:val="32"/>
          <w:highlight w:val="none"/>
          <w:lang w:val="en-US" w:eastAsia="zh-CN"/>
        </w:rPr>
        <w:t>和</w:t>
      </w:r>
      <w:r>
        <w:rPr>
          <w:rFonts w:hint="eastAsia" w:ascii="仿宋_GB2312" w:hAnsi="仿宋_GB2312" w:eastAsia="仿宋_GB2312" w:cs="仿宋_GB2312"/>
          <w:color w:val="auto"/>
          <w:kern w:val="0"/>
          <w:sz w:val="32"/>
          <w:szCs w:val="32"/>
          <w:highlight w:val="none"/>
          <w:lang w:eastAsia="zh-CN"/>
        </w:rPr>
        <w:t>区、县（市）人民政府可以通过金融贷款、发放专项债券等方式，吸引金融资本投入高标准农田建设。鼓励专业大户、家庭农场、农民合作组织及企业等新型农业经营主体</w:t>
      </w:r>
      <w:r>
        <w:rPr>
          <w:rFonts w:hint="eastAsia" w:ascii="仿宋_GB2312" w:hAnsi="仿宋_GB2312" w:eastAsia="仿宋_GB2312" w:cs="仿宋_GB2312"/>
          <w:color w:val="auto"/>
          <w:kern w:val="0"/>
          <w:sz w:val="32"/>
          <w:szCs w:val="32"/>
          <w:highlight w:val="none"/>
          <w:lang w:val="en-US" w:eastAsia="zh-CN"/>
        </w:rPr>
        <w:t>资金投入高标准农田建设</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kern w:val="0"/>
          <w:sz w:val="32"/>
          <w:szCs w:val="32"/>
          <w:highlight w:val="none"/>
          <w:lang w:val="en-US" w:eastAsia="zh-CN" w:bidi="ar"/>
        </w:rPr>
      </w:pPr>
      <w:r>
        <w:rPr>
          <w:rFonts w:hint="eastAsia" w:ascii="黑体" w:hAnsi="黑体" w:eastAsia="黑体" w:cs="黑体"/>
          <w:color w:val="auto"/>
          <w:kern w:val="21"/>
          <w:sz w:val="32"/>
          <w:szCs w:val="32"/>
          <w:highlight w:val="none"/>
          <w:lang w:eastAsia="zh-CN"/>
        </w:rPr>
        <w:t>第九条</w:t>
      </w:r>
      <w:r>
        <w:rPr>
          <w:rFonts w:hint="eastAsia" w:ascii="仿宋_GB2312" w:hAnsi="仿宋_GB2312" w:eastAsia="仿宋_GB2312" w:cs="仿宋_GB2312"/>
          <w:color w:val="auto"/>
          <w:kern w:val="21"/>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lang w:val="en-US" w:eastAsia="zh-CN" w:bidi="ar"/>
        </w:rPr>
        <w:t>高标准农田建设项目实行招标投标制。市农业农村部门可以按照国家集中统一管理的要求统一制定评标办法。</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招标人应当严格执行评标办法，严格审查投标单位和人员的违法违规失信行为记录，不得有围标、串标、违法分包和转让等不良行为记录，以及有违规出借资质的单位参与投标。</w:t>
      </w:r>
    </w:p>
    <w:p>
      <w:pPr>
        <w:keepNext w:val="0"/>
        <w:keepLines w:val="0"/>
        <w:pageBreakBefore w:val="0"/>
        <w:widowControl w:val="0"/>
        <w:kinsoku w:val="0"/>
        <w:wordWrap/>
        <w:overflowPunct/>
        <w:topLinePunct w:val="0"/>
        <w:autoSpaceDE w:val="0"/>
        <w:autoSpaceDN w:val="0"/>
        <w:bidi w:val="0"/>
        <w:adjustRightInd w:val="0"/>
        <w:snapToGrid w:val="0"/>
        <w:spacing w:beforeLines="0" w:afterLines="0" w:line="600" w:lineRule="exact"/>
        <w:ind w:firstLine="640" w:firstLineChars="200"/>
        <w:textAlignment w:val="baseline"/>
        <w:rPr>
          <w:rFonts w:hint="default" w:ascii="仿宋_GB2312" w:hAnsi="仿宋_GB2312" w:eastAsia="仿宋_GB2312" w:cs="仿宋_GB2312"/>
          <w:color w:val="auto"/>
          <w:kern w:val="0"/>
          <w:sz w:val="32"/>
          <w:szCs w:val="32"/>
          <w:highlight w:val="none"/>
          <w:lang w:val="en-US" w:eastAsia="zh-CN" w:bidi="ar"/>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十</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bidi="ar"/>
        </w:rPr>
        <w:t>高标准农田设计单位应当广泛征求项目所在</w:t>
      </w:r>
      <w:r>
        <w:rPr>
          <w:rFonts w:hint="eastAsia" w:ascii="仿宋_GB2312" w:hAnsi="仿宋_GB2312" w:eastAsia="仿宋_GB2312" w:cs="仿宋_GB2312"/>
          <w:color w:val="auto"/>
          <w:kern w:val="21"/>
          <w:sz w:val="32"/>
          <w:szCs w:val="32"/>
          <w:highlight w:val="none"/>
        </w:rPr>
        <w:t>乡镇人民政府</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21"/>
          <w:sz w:val="32"/>
          <w:szCs w:val="32"/>
          <w:highlight w:val="none"/>
        </w:rPr>
        <w:t>街道办事处</w:t>
      </w:r>
      <w:r>
        <w:rPr>
          <w:rFonts w:hint="eastAsia" w:ascii="仿宋_GB2312" w:hAnsi="仿宋_GB2312" w:eastAsia="仿宋_GB2312" w:cs="仿宋_GB2312"/>
          <w:color w:val="auto"/>
          <w:kern w:val="0"/>
          <w:sz w:val="32"/>
          <w:szCs w:val="32"/>
          <w:highlight w:val="none"/>
          <w:lang w:val="en-US" w:eastAsia="zh-CN" w:bidi="ar"/>
        </w:rPr>
        <w:t>）、农村集体经济组织、村民以及其他利益相关方的意见建议，吸纳合理意见，编制项目初步设计文件。</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kern w:val="21"/>
          <w:sz w:val="32"/>
          <w:szCs w:val="32"/>
          <w:highlight w:val="none"/>
          <w:lang w:val="en-US"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十一</w:t>
      </w:r>
      <w:r>
        <w:rPr>
          <w:rFonts w:hint="eastAsia" w:ascii="黑体" w:hAnsi="黑体" w:eastAsia="黑体" w:cs="黑体"/>
          <w:color w:val="auto"/>
          <w:sz w:val="32"/>
          <w:szCs w:val="32"/>
          <w:highlight w:val="none"/>
        </w:rPr>
        <w:t xml:space="preserve">条 </w:t>
      </w:r>
      <w:r>
        <w:rPr>
          <w:rFonts w:hint="eastAsia" w:ascii="仿宋_GB2312" w:hAnsi="仿宋_GB2312" w:eastAsia="仿宋_GB2312" w:cs="仿宋_GB2312"/>
          <w:color w:val="auto"/>
          <w:sz w:val="32"/>
          <w:szCs w:val="32"/>
          <w:highlight w:val="none"/>
          <w:lang w:val="en-US" w:eastAsia="zh-CN"/>
        </w:rPr>
        <w:t>高标准农田建设项目</w:t>
      </w:r>
      <w:r>
        <w:rPr>
          <w:rFonts w:hint="eastAsia" w:ascii="仿宋_GB2312" w:hAnsi="仿宋_GB2312" w:eastAsia="仿宋_GB2312" w:cs="仿宋_GB2312"/>
          <w:color w:val="auto"/>
          <w:sz w:val="32"/>
          <w:szCs w:val="32"/>
        </w:rPr>
        <w:t>施工单位应当</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rPr>
        <w:t>国家、行业有关工程建设法规、技术规程、技术标准的规定以及设计文件和施工合同的要求进行施工，选用的材料、设备</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color w:val="auto"/>
          <w:sz w:val="32"/>
          <w:szCs w:val="32"/>
        </w:rPr>
        <w:t>符合设计文件和合同要求，</w:t>
      </w:r>
      <w:r>
        <w:rPr>
          <w:rFonts w:hint="eastAsia" w:ascii="仿宋_GB2312" w:hAnsi="仿宋_GB2312" w:eastAsia="仿宋_GB2312" w:cs="仿宋_GB2312"/>
          <w:color w:val="auto"/>
          <w:kern w:val="21"/>
          <w:sz w:val="32"/>
          <w:szCs w:val="32"/>
          <w:highlight w:val="none"/>
          <w:lang w:val="en-US" w:eastAsia="zh-CN"/>
        </w:rPr>
        <w:t>并建立完整、可追溯的施工技术档</w:t>
      </w:r>
      <w:r>
        <w:rPr>
          <w:rFonts w:hint="eastAsia" w:ascii="仿宋_GB2312" w:hAnsi="仿宋_GB2312" w:eastAsia="仿宋_GB2312" w:cs="仿宋_GB2312"/>
          <w:color w:val="auto"/>
          <w:kern w:val="21"/>
          <w:sz w:val="32"/>
          <w:szCs w:val="32"/>
          <w:highlight w:val="none"/>
          <w:lang w:val="en-US" w:eastAsia="zh-CN"/>
        </w:rPr>
        <w:t>案，</w:t>
      </w:r>
      <w:r>
        <w:rPr>
          <w:rFonts w:hint="eastAsia" w:ascii="仿宋_GB2312" w:hAnsi="仿宋_GB2312" w:eastAsia="仿宋_GB2312" w:cs="仿宋_GB2312"/>
          <w:color w:val="auto"/>
          <w:sz w:val="32"/>
          <w:szCs w:val="32"/>
        </w:rPr>
        <w:t>对其施工的工程质量负责。</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kern w:val="21"/>
          <w:sz w:val="32"/>
          <w:szCs w:val="32"/>
          <w:highlight w:val="none"/>
          <w:lang w:eastAsia="zh-CN"/>
        </w:rPr>
      </w:pPr>
      <w:r>
        <w:rPr>
          <w:rFonts w:hint="eastAsia" w:ascii="仿宋_GB2312" w:hAnsi="仿宋_GB2312" w:eastAsia="仿宋_GB2312" w:cs="仿宋_GB2312"/>
          <w:color w:val="auto"/>
          <w:kern w:val="21"/>
          <w:sz w:val="32"/>
          <w:szCs w:val="32"/>
          <w:highlight w:val="none"/>
          <w:lang w:val="en-US" w:eastAsia="zh-CN"/>
        </w:rPr>
        <w:t>施工单位不得将所承揽的工程转包或者违法分包。</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第十</w:t>
      </w:r>
      <w:r>
        <w:rPr>
          <w:rFonts w:hint="eastAsia" w:ascii="黑体" w:hAnsi="黑体" w:eastAsia="黑体" w:cs="黑体"/>
          <w:b w:val="0"/>
          <w:bCs w:val="0"/>
          <w:color w:val="auto"/>
          <w:sz w:val="32"/>
          <w:szCs w:val="32"/>
          <w:highlight w:val="none"/>
          <w:lang w:eastAsia="zh-CN"/>
        </w:rPr>
        <w:t>二</w:t>
      </w:r>
      <w:r>
        <w:rPr>
          <w:rFonts w:hint="eastAsia" w:ascii="黑体" w:hAnsi="黑体" w:eastAsia="黑体" w:cs="黑体"/>
          <w:b w:val="0"/>
          <w:bCs w:val="0"/>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高标准农田建设项目</w:t>
      </w:r>
      <w:r>
        <w:rPr>
          <w:rFonts w:hint="eastAsia" w:ascii="仿宋_GB2312" w:hAnsi="仿宋_GB2312" w:eastAsia="仿宋_GB2312" w:cs="仿宋_GB2312"/>
          <w:color w:val="auto"/>
          <w:sz w:val="32"/>
          <w:szCs w:val="32"/>
          <w:highlight w:val="none"/>
          <w:lang w:eastAsia="zh-CN"/>
        </w:rPr>
        <w:t>监</w:t>
      </w:r>
      <w:r>
        <w:rPr>
          <w:rFonts w:hint="eastAsia" w:ascii="仿宋_GB2312" w:hAnsi="仿宋_GB2312" w:eastAsia="仿宋_GB2312" w:cs="仿宋_GB2312"/>
          <w:color w:val="auto"/>
          <w:sz w:val="32"/>
          <w:szCs w:val="32"/>
          <w:highlight w:val="none"/>
        </w:rPr>
        <w:t>理单位</w:t>
      </w:r>
      <w:r>
        <w:rPr>
          <w:rFonts w:hint="eastAsia" w:ascii="仿宋_GB2312" w:hAnsi="仿宋_GB2312" w:eastAsia="仿宋_GB2312" w:cs="仿宋_GB2312"/>
          <w:color w:val="auto"/>
          <w:sz w:val="32"/>
          <w:szCs w:val="32"/>
          <w:highlight w:val="none"/>
          <w:lang w:eastAsia="zh-CN"/>
        </w:rPr>
        <w:t>应当</w:t>
      </w:r>
      <w:r>
        <w:rPr>
          <w:rFonts w:hint="eastAsia" w:ascii="仿宋_GB2312" w:hAnsi="仿宋_GB2312" w:eastAsia="仿宋_GB2312" w:cs="仿宋_GB2312"/>
          <w:color w:val="auto"/>
          <w:kern w:val="21"/>
          <w:sz w:val="32"/>
          <w:szCs w:val="32"/>
          <w:highlight w:val="none"/>
          <w:lang w:eastAsia="zh-CN"/>
        </w:rPr>
        <w:t>采取旁站、巡视、跟踪检测和平行检验等方式</w:t>
      </w:r>
      <w:r>
        <w:rPr>
          <w:rFonts w:hint="eastAsia" w:ascii="仿宋_GB2312" w:hAnsi="仿宋_GB2312" w:eastAsia="仿宋_GB2312" w:cs="仿宋_GB2312"/>
          <w:color w:val="auto"/>
          <w:sz w:val="32"/>
          <w:szCs w:val="32"/>
          <w:highlight w:val="none"/>
        </w:rPr>
        <w:t>实施监理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21"/>
          <w:sz w:val="32"/>
          <w:szCs w:val="32"/>
          <w:highlight w:val="none"/>
          <w:lang w:eastAsia="zh-CN"/>
        </w:rPr>
        <w:t>加强材料质量、隐蔽工程、关键工序、单项工程验收等关键环节监理力度，对施工质量、进度、安全等问题及时记录报告、督促整改并开展复查。不得通过串通、欺诈等手段弄虚作假，降低工程质量。</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未经监理工程师签字，建筑材料、建筑构配件和设备不得在工程上使用或者安装，不得进行下一道工序施工。</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kern w:val="21"/>
          <w:sz w:val="32"/>
          <w:szCs w:val="32"/>
          <w:highlight w:val="none"/>
          <w:lang w:eastAsia="zh-CN"/>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kern w:val="21"/>
          <w:sz w:val="32"/>
          <w:szCs w:val="32"/>
          <w:highlight w:val="none"/>
          <w:lang w:eastAsia="zh-CN"/>
        </w:rPr>
        <w:t>区、县（市）农业农村部门应当在</w:t>
      </w:r>
      <w:r>
        <w:rPr>
          <w:rFonts w:hint="eastAsia" w:ascii="仿宋_GB2312" w:hAnsi="仿宋_GB2312" w:eastAsia="仿宋_GB2312" w:cs="仿宋_GB2312"/>
          <w:color w:val="auto"/>
          <w:kern w:val="21"/>
          <w:sz w:val="32"/>
          <w:szCs w:val="32"/>
          <w:highlight w:val="none"/>
          <w:lang w:val="en-US" w:eastAsia="zh-CN"/>
        </w:rPr>
        <w:t>项目</w:t>
      </w:r>
      <w:r>
        <w:rPr>
          <w:rFonts w:hint="eastAsia" w:ascii="仿宋_GB2312" w:hAnsi="仿宋_GB2312" w:eastAsia="仿宋_GB2312" w:cs="仿宋_GB2312"/>
          <w:color w:val="auto"/>
          <w:kern w:val="21"/>
          <w:sz w:val="32"/>
          <w:szCs w:val="32"/>
          <w:highlight w:val="none"/>
          <w:lang w:eastAsia="zh-CN"/>
        </w:rPr>
        <w:t>满足下列条件后，向市农业农村部门提出竣工验收申请。</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kern w:val="21"/>
          <w:sz w:val="32"/>
          <w:szCs w:val="32"/>
          <w:highlight w:val="none"/>
          <w:lang w:val="en-US" w:eastAsia="zh-CN"/>
        </w:rPr>
      </w:pPr>
      <w:r>
        <w:rPr>
          <w:rFonts w:hint="eastAsia" w:ascii="仿宋_GB2312" w:hAnsi="仿宋_GB2312" w:eastAsia="仿宋_GB2312" w:cs="仿宋_GB2312"/>
          <w:color w:val="auto"/>
          <w:kern w:val="21"/>
          <w:sz w:val="32"/>
          <w:szCs w:val="32"/>
          <w:highlight w:val="none"/>
          <w:lang w:val="en-US" w:eastAsia="zh-CN"/>
        </w:rPr>
        <w:t>（一）完成设计建设内容并符合设计和质量要求</w:t>
      </w:r>
      <w:r>
        <w:rPr>
          <w:rFonts w:hint="eastAsia" w:ascii="仿宋_GB2312" w:hAnsi="仿宋_GB2312" w:eastAsia="仿宋_GB2312" w:cs="仿宋_GB2312"/>
          <w:color w:val="auto"/>
          <w:kern w:val="21"/>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kern w:val="21"/>
          <w:sz w:val="32"/>
          <w:szCs w:val="32"/>
          <w:highlight w:val="none"/>
          <w:lang w:val="en-US" w:eastAsia="zh-CN"/>
        </w:rPr>
      </w:pPr>
      <w:r>
        <w:rPr>
          <w:rFonts w:hint="eastAsia" w:ascii="仿宋_GB2312" w:hAnsi="仿宋_GB2312" w:eastAsia="仿宋_GB2312" w:cs="仿宋_GB2312"/>
          <w:color w:val="auto"/>
          <w:kern w:val="21"/>
          <w:sz w:val="32"/>
          <w:szCs w:val="32"/>
          <w:highlight w:val="none"/>
          <w:lang w:val="en-US" w:eastAsia="zh-CN"/>
        </w:rPr>
        <w:t>（二）设备及配套设施调试运行正常；</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kern w:val="21"/>
          <w:sz w:val="32"/>
          <w:szCs w:val="32"/>
          <w:highlight w:val="none"/>
          <w:lang w:val="en-US" w:eastAsia="zh-CN"/>
        </w:rPr>
      </w:pPr>
      <w:r>
        <w:rPr>
          <w:rFonts w:hint="eastAsia" w:ascii="仿宋_GB2312" w:hAnsi="仿宋_GB2312" w:eastAsia="仿宋_GB2312" w:cs="仿宋_GB2312"/>
          <w:color w:val="auto"/>
          <w:kern w:val="21"/>
          <w:sz w:val="32"/>
          <w:szCs w:val="32"/>
          <w:highlight w:val="none"/>
          <w:lang w:val="en-US" w:eastAsia="zh-CN"/>
        </w:rPr>
        <w:t>（三）建设、设计、施工、监理单位四方验收合格；</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kern w:val="21"/>
          <w:sz w:val="32"/>
          <w:szCs w:val="32"/>
          <w:highlight w:val="none"/>
          <w:lang w:val="en-US" w:eastAsia="zh-CN"/>
        </w:rPr>
      </w:pPr>
      <w:r>
        <w:rPr>
          <w:rFonts w:hint="eastAsia" w:ascii="仿宋_GB2312" w:hAnsi="仿宋_GB2312" w:eastAsia="仿宋_GB2312" w:cs="仿宋_GB2312"/>
          <w:color w:val="auto"/>
          <w:kern w:val="21"/>
          <w:sz w:val="32"/>
          <w:szCs w:val="32"/>
          <w:highlight w:val="none"/>
          <w:lang w:val="en-US" w:eastAsia="zh-CN"/>
        </w:rPr>
        <w:t>（四）完成决算审计；</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kern w:val="21"/>
          <w:sz w:val="32"/>
          <w:szCs w:val="32"/>
          <w:highlight w:val="none"/>
          <w:lang w:val="en-US" w:eastAsia="zh-CN"/>
        </w:rPr>
      </w:pPr>
      <w:r>
        <w:rPr>
          <w:rFonts w:hint="eastAsia" w:ascii="仿宋_GB2312" w:hAnsi="仿宋_GB2312" w:eastAsia="仿宋_GB2312" w:cs="仿宋_GB2312"/>
          <w:color w:val="auto"/>
          <w:kern w:val="21"/>
          <w:sz w:val="32"/>
          <w:szCs w:val="32"/>
          <w:highlight w:val="none"/>
          <w:lang w:val="en-US" w:eastAsia="zh-CN"/>
        </w:rPr>
        <w:t>（五）内业资料齐全；</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firstLine="640" w:firstLineChars="200"/>
        <w:textAlignment w:val="baseline"/>
        <w:rPr>
          <w:rFonts w:hint="eastAsia" w:ascii="仿宋_GB2312" w:hAnsi="仿宋_GB2312" w:eastAsia="仿宋_GB2312" w:cs="仿宋_GB2312"/>
          <w:color w:val="auto"/>
          <w:kern w:val="21"/>
          <w:sz w:val="32"/>
          <w:szCs w:val="32"/>
          <w:highlight w:val="none"/>
          <w:lang w:eastAsia="zh-CN"/>
        </w:rPr>
      </w:pPr>
      <w:r>
        <w:rPr>
          <w:rFonts w:hint="eastAsia" w:ascii="仿宋_GB2312" w:hAnsi="仿宋_GB2312" w:eastAsia="仿宋_GB2312" w:cs="仿宋_GB2312"/>
          <w:color w:val="auto"/>
          <w:kern w:val="21"/>
          <w:sz w:val="32"/>
          <w:szCs w:val="32"/>
          <w:highlight w:val="none"/>
          <w:lang w:val="en-US" w:eastAsia="zh-CN"/>
        </w:rPr>
        <w:t>（六）完成项目初步验收。</w:t>
      </w:r>
    </w:p>
    <w:p>
      <w:pPr>
        <w:pStyle w:val="11"/>
        <w:keepNext w:val="0"/>
        <w:keepLines w:val="0"/>
        <w:pageBreakBefore w:val="0"/>
        <w:widowControl w:val="0"/>
        <w:numPr>
          <w:ilvl w:val="0"/>
          <w:numId w:val="0"/>
        </w:numPr>
        <w:suppressAutoHyphens w:val="0"/>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auto"/>
        <w:rPr>
          <w:rFonts w:hint="eastAsia" w:ascii="仿宋_GB2312" w:hAnsi="仿宋_GB2312" w:eastAsia="仿宋_GB2312" w:cs="仿宋_GB2312"/>
          <w:color w:val="auto"/>
          <w:kern w:val="21"/>
          <w:sz w:val="32"/>
          <w:szCs w:val="32"/>
          <w:highlight w:val="none"/>
          <w:lang w:val="en-US" w:eastAsia="zh-CN" w:bidi="ar-SA"/>
        </w:rPr>
      </w:pPr>
      <w:r>
        <w:rPr>
          <w:rFonts w:hint="eastAsia" w:ascii="黑体" w:hAnsi="黑体" w:eastAsia="黑体" w:cs="黑体"/>
          <w:color w:val="auto"/>
          <w:kern w:val="21"/>
          <w:sz w:val="32"/>
          <w:szCs w:val="32"/>
          <w:highlight w:val="none"/>
          <w:lang w:eastAsia="zh-CN"/>
        </w:rPr>
        <w:t>第十四条</w:t>
      </w:r>
      <w:r>
        <w:rPr>
          <w:rFonts w:hint="eastAsia" w:ascii="仿宋_GB2312" w:hAnsi="仿宋_GB2312" w:eastAsia="仿宋_GB2312" w:cs="仿宋_GB2312"/>
          <w:color w:val="auto"/>
          <w:kern w:val="21"/>
          <w:sz w:val="32"/>
          <w:szCs w:val="32"/>
          <w:highlight w:val="none"/>
          <w:lang w:val="en-US" w:eastAsia="zh-CN"/>
        </w:rPr>
        <w:t xml:space="preserve"> </w:t>
      </w:r>
      <w:r>
        <w:rPr>
          <w:rFonts w:hint="eastAsia" w:ascii="仿宋_GB2312" w:hAnsi="仿宋_GB2312" w:eastAsia="仿宋_GB2312" w:cs="仿宋_GB2312"/>
          <w:color w:val="auto"/>
          <w:kern w:val="21"/>
          <w:sz w:val="32"/>
          <w:szCs w:val="32"/>
          <w:highlight w:val="none"/>
          <w:lang w:val="en-US" w:eastAsia="zh-CN" w:bidi="ar-SA"/>
        </w:rPr>
        <w:t>项目竣工验收后，区、县（市）农业农村部门应当在项目区设立统一规范的公示标牌和标志（农业农村部制定统一格式），将项目建设相关信息进行公示，接受社会和群众监督。</w:t>
      </w:r>
    </w:p>
    <w:p>
      <w:pPr>
        <w:pStyle w:val="11"/>
        <w:keepNext w:val="0"/>
        <w:keepLines w:val="0"/>
        <w:pageBreakBefore w:val="0"/>
        <w:widowControl w:val="0"/>
        <w:numPr>
          <w:ilvl w:val="0"/>
          <w:numId w:val="0"/>
        </w:numPr>
        <w:suppressAutoHyphens w:val="0"/>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jc w:val="both"/>
        <w:textAlignment w:val="auto"/>
        <w:rPr>
          <w:rFonts w:hint="eastAsia" w:ascii="仿宋_GB2312" w:hAnsi="仿宋_GB2312" w:eastAsia="仿宋_GB2312" w:cs="仿宋_GB2312"/>
          <w:color w:val="auto"/>
          <w:kern w:val="21"/>
          <w:sz w:val="32"/>
          <w:szCs w:val="32"/>
          <w:highlight w:val="none"/>
          <w:lang w:val="en-US" w:eastAsia="zh-CN" w:bidi="ar-SA"/>
        </w:rPr>
      </w:pPr>
      <w:r>
        <w:rPr>
          <w:rFonts w:hint="eastAsia" w:ascii="黑体" w:hAnsi="黑体" w:eastAsia="黑体" w:cs="黑体"/>
          <w:color w:val="auto"/>
          <w:kern w:val="21"/>
          <w:sz w:val="32"/>
          <w:szCs w:val="32"/>
          <w:highlight w:val="none"/>
          <w:lang w:eastAsia="zh-CN"/>
        </w:rPr>
        <w:t>第十五条</w:t>
      </w:r>
      <w:r>
        <w:rPr>
          <w:rFonts w:hint="eastAsia" w:ascii="仿宋_GB2312" w:hAnsi="仿宋_GB2312" w:eastAsia="仿宋_GB2312" w:cs="仿宋_GB2312"/>
          <w:color w:val="auto"/>
          <w:kern w:val="21"/>
          <w:sz w:val="32"/>
          <w:szCs w:val="32"/>
          <w:highlight w:val="none"/>
          <w:lang w:val="en-US" w:eastAsia="zh-CN"/>
        </w:rPr>
        <w:t xml:space="preserve"> </w:t>
      </w:r>
      <w:r>
        <w:rPr>
          <w:rFonts w:hint="eastAsia" w:ascii="仿宋_GB2312" w:hAnsi="仿宋_GB2312" w:eastAsia="仿宋_GB2312" w:cs="仿宋_GB2312"/>
          <w:color w:val="auto"/>
          <w:kern w:val="21"/>
          <w:sz w:val="32"/>
          <w:szCs w:val="32"/>
          <w:highlight w:val="none"/>
          <w:lang w:val="en-US" w:eastAsia="zh-CN" w:bidi="ar-SA"/>
        </w:rPr>
        <w:t>按照“谁受益、谁管护，谁使用、谁管护”的原则，市和区、县（市）人民政府应当建立本地区高标准农田工程设施管护制度，建立管护经费合理分担机制。明确高标准农田工程设施所有权人，确定管护主体、管护内容、管护要求，落实管护责任。引导专业大户、家庭农场、农民合作组织及企业等新型农业经营主体参与高标准农田工程设施建后管护。</w:t>
      </w:r>
    </w:p>
    <w:p>
      <w:pPr>
        <w:pStyle w:val="11"/>
        <w:keepNext w:val="0"/>
        <w:keepLines w:val="0"/>
        <w:pageBreakBefore w:val="0"/>
        <w:widowControl w:val="0"/>
        <w:suppressAutoHyphens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高标准农田建设项目可以通过购买损毁工程险等方式保障工程长期效益。</w:t>
      </w:r>
    </w:p>
    <w:p>
      <w:pPr>
        <w:pStyle w:val="11"/>
        <w:keepNext w:val="0"/>
        <w:keepLines w:val="0"/>
        <w:pageBreakBefore w:val="0"/>
        <w:widowControl w:val="0"/>
        <w:suppressAutoHyphens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仿宋_GB2312" w:hAnsi="仿宋_GB2312" w:eastAsia="仿宋_GB2312" w:cs="仿宋_GB2312"/>
          <w:color w:val="auto"/>
          <w:kern w:val="21"/>
          <w:sz w:val="32"/>
          <w:szCs w:val="32"/>
          <w:highlight w:val="none"/>
          <w:lang w:val="en-US" w:eastAsia="zh-CN" w:bidi="ar-SA"/>
        </w:rPr>
      </w:pPr>
      <w:r>
        <w:rPr>
          <w:rFonts w:hint="eastAsia" w:ascii="黑体" w:hAnsi="黑体" w:eastAsia="黑体" w:cs="黑体"/>
          <w:color w:val="auto"/>
          <w:kern w:val="21"/>
          <w:sz w:val="32"/>
          <w:szCs w:val="32"/>
          <w:highlight w:val="none"/>
          <w:lang w:val="en-US" w:eastAsia="zh-CN"/>
        </w:rPr>
        <w:t>第十六条</w:t>
      </w:r>
      <w:r>
        <w:rPr>
          <w:rFonts w:hint="eastAsia" w:ascii="仿宋_GB2312" w:hAnsi="仿宋_GB2312" w:eastAsia="仿宋_GB2312" w:cs="仿宋_GB2312"/>
          <w:color w:val="auto"/>
          <w:kern w:val="21"/>
          <w:sz w:val="32"/>
          <w:szCs w:val="32"/>
          <w:highlight w:val="none"/>
          <w:lang w:val="en-US" w:eastAsia="zh-CN"/>
        </w:rPr>
        <w:t xml:space="preserve"> 市</w:t>
      </w:r>
      <w:r>
        <w:rPr>
          <w:rFonts w:hint="eastAsia" w:ascii="仿宋_GB2312" w:hAnsi="仿宋_GB2312" w:eastAsia="仿宋_GB2312" w:cs="仿宋_GB2312"/>
          <w:color w:val="auto"/>
          <w:kern w:val="21"/>
          <w:sz w:val="32"/>
          <w:szCs w:val="32"/>
          <w:highlight w:val="none"/>
          <w:lang w:val="en-US" w:eastAsia="zh-CN" w:bidi="ar-SA"/>
        </w:rPr>
        <w:t>和区、县（市）人民政府应当因地制宜规划建设生产规模化、作业机械化、服务社会化、经营市场化、管理数字化的农业现代化先行典范区。</w:t>
      </w:r>
    </w:p>
    <w:p>
      <w:pPr>
        <w:pStyle w:val="11"/>
        <w:keepNext w:val="0"/>
        <w:keepLines w:val="0"/>
        <w:pageBreakBefore w:val="0"/>
        <w:widowControl w:val="0"/>
        <w:suppressAutoHyphens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kern w:val="21"/>
          <w:sz w:val="32"/>
          <w:szCs w:val="32"/>
          <w:highlight w:val="none"/>
        </w:rPr>
        <w:t>第</w:t>
      </w:r>
      <w:r>
        <w:rPr>
          <w:rFonts w:hint="eastAsia" w:ascii="黑体" w:hAnsi="黑体" w:eastAsia="黑体" w:cs="黑体"/>
          <w:color w:val="auto"/>
          <w:kern w:val="21"/>
          <w:sz w:val="32"/>
          <w:szCs w:val="32"/>
          <w:highlight w:val="none"/>
          <w:lang w:eastAsia="zh-CN"/>
        </w:rPr>
        <w:t>十七</w:t>
      </w:r>
      <w:r>
        <w:rPr>
          <w:rFonts w:hint="eastAsia" w:ascii="黑体" w:hAnsi="黑体" w:eastAsia="黑体" w:cs="黑体"/>
          <w:color w:val="auto"/>
          <w:kern w:val="21"/>
          <w:sz w:val="32"/>
          <w:szCs w:val="32"/>
          <w:highlight w:val="none"/>
        </w:rPr>
        <w:t>条</w:t>
      </w:r>
      <w:r>
        <w:rPr>
          <w:rFonts w:hint="eastAsia" w:ascii="仿宋_GB2312" w:hAnsi="仿宋_GB2312" w:eastAsia="仿宋_GB2312" w:cs="仿宋_GB2312"/>
          <w:color w:val="auto"/>
          <w:kern w:val="21"/>
          <w:sz w:val="32"/>
          <w:szCs w:val="32"/>
          <w:highlight w:val="none"/>
        </w:rPr>
        <w:t xml:space="preserve"> </w:t>
      </w:r>
      <w:r>
        <w:rPr>
          <w:rFonts w:hint="eastAsia" w:ascii="仿宋_GB2312" w:hAnsi="仿宋_GB2312" w:eastAsia="仿宋_GB2312" w:cs="仿宋_GB2312"/>
          <w:color w:val="auto"/>
          <w:kern w:val="21"/>
          <w:sz w:val="32"/>
          <w:szCs w:val="32"/>
          <w:highlight w:val="none"/>
          <w:lang w:val="en-US" w:eastAsia="zh-CN"/>
        </w:rPr>
        <w:t>市和区、县（市）农业农村部门</w:t>
      </w:r>
      <w:r>
        <w:rPr>
          <w:rFonts w:hint="eastAsia" w:ascii="仿宋_GB2312" w:hAnsi="仿宋_GB2312" w:eastAsia="仿宋_GB2312" w:cs="仿宋_GB2312"/>
          <w:color w:val="auto"/>
          <w:sz w:val="32"/>
          <w:szCs w:val="32"/>
          <w:highlight w:val="none"/>
        </w:rPr>
        <w:t>应当加强</w:t>
      </w:r>
      <w:r>
        <w:rPr>
          <w:rFonts w:hint="eastAsia" w:ascii="仿宋_GB2312" w:hAnsi="仿宋_GB2312" w:eastAsia="仿宋_GB2312" w:cs="仿宋_GB2312"/>
          <w:color w:val="auto"/>
          <w:sz w:val="32"/>
          <w:szCs w:val="32"/>
          <w:highlight w:val="none"/>
          <w:lang w:eastAsia="zh-CN"/>
        </w:rPr>
        <w:t>高标准农田建设信息化</w:t>
      </w:r>
      <w:r>
        <w:rPr>
          <w:rFonts w:hint="eastAsia" w:ascii="仿宋_GB2312" w:hAnsi="仿宋_GB2312" w:eastAsia="仿宋_GB2312" w:cs="仿宋_GB2312"/>
          <w:color w:val="auto"/>
          <w:sz w:val="32"/>
          <w:szCs w:val="32"/>
          <w:highlight w:val="none"/>
        </w:rPr>
        <w:t>管理，建立健全高标准农田在线监管平台，</w:t>
      </w:r>
      <w:r>
        <w:rPr>
          <w:rFonts w:hint="eastAsia" w:ascii="仿宋_GB2312" w:hAnsi="仿宋_GB2312" w:eastAsia="仿宋_GB2312" w:cs="仿宋_GB2312"/>
          <w:color w:val="auto"/>
          <w:sz w:val="32"/>
          <w:szCs w:val="32"/>
          <w:highlight w:val="none"/>
          <w:lang w:eastAsia="zh-CN"/>
        </w:rPr>
        <w:t>实时填报高标准农田项目</w:t>
      </w:r>
      <w:r>
        <w:rPr>
          <w:rFonts w:hint="eastAsia" w:ascii="仿宋_GB2312" w:hAnsi="仿宋_GB2312" w:eastAsia="仿宋_GB2312" w:cs="仿宋_GB2312"/>
          <w:color w:val="auto"/>
          <w:sz w:val="32"/>
          <w:szCs w:val="32"/>
          <w:highlight w:val="none"/>
          <w:lang w:val="en-US" w:eastAsia="zh-CN"/>
        </w:rPr>
        <w:t>规划、</w:t>
      </w:r>
      <w:r>
        <w:rPr>
          <w:rFonts w:hint="eastAsia" w:ascii="仿宋_GB2312" w:hAnsi="仿宋_GB2312" w:eastAsia="仿宋_GB2312" w:cs="仿宋_GB2312"/>
          <w:color w:val="auto"/>
          <w:kern w:val="21"/>
          <w:sz w:val="32"/>
          <w:szCs w:val="32"/>
          <w:highlight w:val="none"/>
          <w:lang w:eastAsia="zh-CN"/>
        </w:rPr>
        <w:t>设计、施工、监理、验收、管护等信息，</w:t>
      </w:r>
      <w:r>
        <w:rPr>
          <w:rFonts w:hint="eastAsia" w:ascii="仿宋_GB2312" w:hAnsi="仿宋_GB2312" w:eastAsia="仿宋_GB2312" w:cs="仿宋_GB2312"/>
          <w:color w:val="auto"/>
          <w:sz w:val="32"/>
          <w:szCs w:val="32"/>
          <w:highlight w:val="none"/>
        </w:rPr>
        <w:t>实现</w:t>
      </w:r>
      <w:r>
        <w:rPr>
          <w:rFonts w:hint="eastAsia" w:ascii="仿宋_GB2312" w:hAnsi="仿宋_GB2312" w:eastAsia="仿宋_GB2312" w:cs="仿宋_GB2312"/>
          <w:color w:val="auto"/>
          <w:sz w:val="32"/>
          <w:szCs w:val="32"/>
          <w:highlight w:val="none"/>
          <w:lang w:eastAsia="zh-CN"/>
        </w:rPr>
        <w:t>高标准农田建设智能化监管。</w:t>
      </w:r>
    </w:p>
    <w:p>
      <w:pPr>
        <w:pStyle w:val="11"/>
        <w:keepNext w:val="0"/>
        <w:keepLines w:val="0"/>
        <w:pageBreakBefore w:val="0"/>
        <w:widowControl w:val="0"/>
        <w:suppressAutoHyphens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kern w:val="21"/>
          <w:sz w:val="32"/>
          <w:szCs w:val="32"/>
          <w:highlight w:val="none"/>
          <w:lang w:eastAsia="zh-CN"/>
        </w:rPr>
        <w:t>第十八条</w:t>
      </w:r>
      <w:r>
        <w:rPr>
          <w:rFonts w:hint="eastAsia" w:ascii="黑体" w:hAnsi="黑体" w:eastAsia="黑体" w:cs="黑体"/>
          <w:color w:val="auto"/>
          <w:kern w:val="21"/>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从事高标准农田建设和管理的工作人员，在高标准农田建设工作中，玩忽职守、滥用职权、徇私舞弊，构成犯罪的，依法追究刑事责任；尚不构成犯罪的，依法给予处分。</w:t>
      </w:r>
    </w:p>
    <w:p>
      <w:pPr>
        <w:pStyle w:val="11"/>
        <w:keepNext w:val="0"/>
        <w:keepLines w:val="0"/>
        <w:pageBreakBefore w:val="0"/>
        <w:widowControl w:val="0"/>
        <w:suppressAutoHyphens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黑体" w:hAnsi="黑体" w:eastAsia="黑体" w:cs="黑体"/>
          <w:color w:val="auto"/>
          <w:kern w:val="21"/>
          <w:sz w:val="32"/>
          <w:szCs w:val="32"/>
          <w:highlight w:val="none"/>
          <w:lang w:eastAsia="zh-CN"/>
        </w:rPr>
        <w:t>第十九条</w:t>
      </w:r>
      <w:r>
        <w:rPr>
          <w:rFonts w:hint="eastAsia" w:ascii="仿宋_GB2312" w:hAnsi="仿宋_GB2312" w:eastAsia="仿宋_GB2312" w:cs="仿宋_GB2312"/>
          <w:color w:val="auto"/>
          <w:kern w:val="21"/>
          <w:sz w:val="32"/>
          <w:szCs w:val="32"/>
          <w:highlight w:val="none"/>
          <w:lang w:val="en-US" w:eastAsia="zh-CN"/>
        </w:rPr>
        <w:t xml:space="preserve"> 本规定自2023年10月1日</w:t>
      </w:r>
      <w:bookmarkStart w:id="0" w:name="_GoBack"/>
      <w:bookmarkEnd w:id="0"/>
      <w:r>
        <w:rPr>
          <w:rFonts w:hint="eastAsia" w:ascii="仿宋_GB2312" w:hAnsi="仿宋_GB2312" w:eastAsia="仿宋_GB2312" w:cs="仿宋_GB2312"/>
          <w:color w:val="auto"/>
          <w:kern w:val="21"/>
          <w:sz w:val="32"/>
          <w:szCs w:val="32"/>
          <w:highlight w:val="none"/>
          <w:lang w:val="en-US" w:eastAsia="zh-CN"/>
        </w:rPr>
        <w:t>起施行。</w:t>
      </w:r>
    </w:p>
    <w:p>
      <w:pPr>
        <w:keepNext w:val="0"/>
        <w:keepLines w:val="0"/>
        <w:pageBreakBefore w:val="0"/>
        <w:wordWrap/>
        <w:overflowPunct/>
        <w:topLinePunct w:val="0"/>
        <w:bidi w:val="0"/>
        <w:spacing w:line="600" w:lineRule="exact"/>
        <w:rPr>
          <w:rFonts w:hint="eastAsia"/>
          <w:color w:val="auto"/>
        </w:rPr>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5472"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9"/>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0"/>
      <w:wordWrap w:val="0"/>
      <w:ind w:left="5472"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0"/>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643"/>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0"/>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25253"/>
    <w:rsid w:val="00172A27"/>
    <w:rsid w:val="003F497B"/>
    <w:rsid w:val="006B0EDA"/>
    <w:rsid w:val="006D58CA"/>
    <w:rsid w:val="00993565"/>
    <w:rsid w:val="00DA5E85"/>
    <w:rsid w:val="00DC69F9"/>
    <w:rsid w:val="00DE1DE9"/>
    <w:rsid w:val="00FB7656"/>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5EBD122A"/>
    <w:rsid w:val="608816D1"/>
    <w:rsid w:val="60EF4E7F"/>
    <w:rsid w:val="62A44DD0"/>
    <w:rsid w:val="660254A6"/>
    <w:rsid w:val="665233C1"/>
    <w:rsid w:val="67470A9D"/>
    <w:rsid w:val="6AD9688B"/>
    <w:rsid w:val="6BC5581F"/>
    <w:rsid w:val="6D0E3F22"/>
    <w:rsid w:val="7C9011D9"/>
    <w:rsid w:val="7DC651C5"/>
    <w:rsid w:val="7FCC2834"/>
    <w:rsid w:val="FBFB1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7"/>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7">
    <w:name w:val="annotation text"/>
    <w:basedOn w:val="1"/>
    <w:qFormat/>
    <w:uiPriority w:val="0"/>
    <w:pPr>
      <w:jc w:val="left"/>
    </w:pPr>
  </w:style>
  <w:style w:type="paragraph" w:styleId="8">
    <w:name w:val="Balloon Text"/>
    <w:basedOn w:val="1"/>
    <w:link w:val="18"/>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Normal (Web)"/>
    <w:basedOn w:val="1"/>
    <w:qFormat/>
    <w:uiPriority w:val="0"/>
    <w:pPr>
      <w:spacing w:beforeAutospacing="1" w:afterAutospacing="1"/>
      <w:jc w:val="left"/>
    </w:pPr>
    <w:rPr>
      <w:kern w:val="0"/>
    </w:rPr>
  </w:style>
  <w:style w:type="paragraph" w:styleId="12">
    <w:name w:val="Body Text First Indent"/>
    <w:basedOn w:val="1"/>
    <w:qFormat/>
    <w:uiPriority w:val="0"/>
    <w:pPr>
      <w:ind w:firstLine="632"/>
    </w:pPr>
  </w:style>
  <w:style w:type="character" w:styleId="15">
    <w:name w:val="Strong"/>
    <w:qFormat/>
    <w:uiPriority w:val="0"/>
    <w:rPr>
      <w:b/>
    </w:rPr>
  </w:style>
  <w:style w:type="character" w:styleId="16">
    <w:name w:val="Hyperlink"/>
    <w:qFormat/>
    <w:uiPriority w:val="0"/>
    <w:rPr>
      <w:color w:val="0000FF"/>
      <w:u w:val="single"/>
    </w:rPr>
  </w:style>
  <w:style w:type="character" w:customStyle="1" w:styleId="17">
    <w:name w:val="标题 3 Char"/>
    <w:link w:val="5"/>
    <w:qFormat/>
    <w:uiPriority w:val="0"/>
    <w:rPr>
      <w:rFonts w:hint="eastAsia" w:ascii="宋体" w:hAnsi="宋体" w:eastAsia="黑体" w:cs="宋体"/>
      <w:kern w:val="0"/>
      <w:sz w:val="24"/>
      <w:szCs w:val="27"/>
    </w:rPr>
  </w:style>
  <w:style w:type="character" w:customStyle="1" w:styleId="18">
    <w:name w:val="批注框文本 Char"/>
    <w:basedOn w:val="14"/>
    <w:link w:val="8"/>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3122</Words>
  <Characters>3144</Characters>
  <Lines>23</Lines>
  <Paragraphs>6</Paragraphs>
  <TotalTime>1</TotalTime>
  <ScaleCrop>false</ScaleCrop>
  <LinksUpToDate>false</LinksUpToDate>
  <CharactersWithSpaces>3291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2022-12-31T03:26:00Z</dcterms:created>
  <dc:creator>t</dc:creator>
  <cp:lastModifiedBy>zfb</cp:lastModifiedBy>
  <cp:lastPrinted>2021-10-26T19:30:00Z</cp:lastPrinted>
  <dcterms:modified xsi:type="dcterms:W3CDTF">2023-08-23T14:28:33Z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