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80" w:rsidRDefault="009A3480" w:rsidP="00C1588C">
      <w:pPr>
        <w:pStyle w:val="3"/>
        <w:widowControl/>
        <w:spacing w:before="0" w:beforeAutospacing="0" w:after="0" w:afterAutospacing="0" w:line="600" w:lineRule="exact"/>
        <w:ind w:firstLine="880"/>
        <w:jc w:val="center"/>
        <w:rPr>
          <w:rFonts w:ascii="方正小标宋简体" w:eastAsia="方正小标宋简体" w:hAnsi="方正小标宋简体" w:cs="方正小标宋简体" w:hint="default"/>
          <w:sz w:val="44"/>
          <w:szCs w:val="44"/>
        </w:rPr>
      </w:pPr>
    </w:p>
    <w:p w:rsidR="009A3480" w:rsidRDefault="00CB2F91">
      <w:pPr>
        <w:pStyle w:val="3"/>
        <w:widowControl/>
        <w:spacing w:before="0" w:beforeAutospacing="0" w:after="0" w:afterAutospacing="0" w:line="600" w:lineRule="exact"/>
        <w:ind w:firstLineChars="0" w:firstLine="0"/>
        <w:jc w:val="center"/>
        <w:rPr>
          <w:rFonts w:ascii="方正小标宋简体" w:eastAsia="方正小标宋简体" w:hAnsi="方正小标宋简体" w:cs="方正小标宋简体" w:hint="default"/>
          <w:sz w:val="44"/>
          <w:szCs w:val="44"/>
        </w:rPr>
      </w:pPr>
      <w:r>
        <w:rPr>
          <w:rFonts w:ascii="方正小标宋简体" w:eastAsia="方正小标宋简体" w:hAnsi="方正小标宋简体" w:cs="方正小标宋简体"/>
          <w:sz w:val="44"/>
          <w:szCs w:val="44"/>
        </w:rPr>
        <w:t>沈阳市建设工程抗震设防要求管理办法</w:t>
      </w:r>
    </w:p>
    <w:p w:rsidR="009A3480" w:rsidRDefault="009A3480" w:rsidP="00C1588C">
      <w:pPr>
        <w:pStyle w:val="a8"/>
        <w:widowControl/>
        <w:spacing w:beforeAutospacing="0" w:afterAutospacing="0" w:line="600" w:lineRule="exact"/>
        <w:ind w:firstLine="640"/>
        <w:jc w:val="center"/>
        <w:rPr>
          <w:rFonts w:cs="仿宋_GB2312"/>
          <w:sz w:val="32"/>
          <w:szCs w:val="32"/>
        </w:rPr>
      </w:pPr>
    </w:p>
    <w:p w:rsidR="009A3480" w:rsidRDefault="00CB2F91">
      <w:pPr>
        <w:pStyle w:val="a8"/>
        <w:widowControl/>
        <w:spacing w:beforeAutospacing="0" w:afterAutospacing="0" w:line="600" w:lineRule="exact"/>
        <w:ind w:firstLineChars="0" w:firstLine="0"/>
        <w:jc w:val="center"/>
        <w:rPr>
          <w:rFonts w:cs="仿宋_GB2312"/>
          <w:sz w:val="32"/>
          <w:szCs w:val="32"/>
        </w:rPr>
      </w:pPr>
      <w:r>
        <w:rPr>
          <w:rFonts w:cs="仿宋_GB2312" w:hint="eastAsia"/>
          <w:sz w:val="32"/>
          <w:szCs w:val="32"/>
        </w:rPr>
        <w:t>（</w:t>
      </w:r>
      <w:r>
        <w:rPr>
          <w:rFonts w:cs="仿宋_GB2312" w:hint="eastAsia"/>
          <w:sz w:val="32"/>
          <w:szCs w:val="32"/>
        </w:rPr>
        <w:t>2001</w:t>
      </w:r>
      <w:r>
        <w:rPr>
          <w:rFonts w:cs="仿宋_GB2312" w:hint="eastAsia"/>
          <w:sz w:val="32"/>
          <w:szCs w:val="32"/>
        </w:rPr>
        <w:t>年</w:t>
      </w:r>
      <w:r>
        <w:rPr>
          <w:rFonts w:cs="仿宋_GB2312" w:hint="eastAsia"/>
          <w:sz w:val="32"/>
          <w:szCs w:val="32"/>
        </w:rPr>
        <w:t>5</w:t>
      </w:r>
      <w:r>
        <w:rPr>
          <w:rFonts w:cs="仿宋_GB2312" w:hint="eastAsia"/>
          <w:sz w:val="32"/>
          <w:szCs w:val="32"/>
        </w:rPr>
        <w:t>月</w:t>
      </w:r>
      <w:r>
        <w:rPr>
          <w:rFonts w:cs="仿宋_GB2312" w:hint="eastAsia"/>
          <w:sz w:val="32"/>
          <w:szCs w:val="32"/>
        </w:rPr>
        <w:t>28</w:t>
      </w:r>
      <w:r>
        <w:rPr>
          <w:rFonts w:cs="仿宋_GB2312" w:hint="eastAsia"/>
          <w:sz w:val="32"/>
          <w:szCs w:val="32"/>
        </w:rPr>
        <w:t>日沈阳市人民政府令第</w:t>
      </w:r>
      <w:r>
        <w:rPr>
          <w:rFonts w:cs="仿宋_GB2312" w:hint="eastAsia"/>
          <w:sz w:val="32"/>
          <w:szCs w:val="32"/>
        </w:rPr>
        <w:t>4</w:t>
      </w:r>
      <w:r>
        <w:rPr>
          <w:rFonts w:cs="仿宋_GB2312" w:hint="eastAsia"/>
          <w:sz w:val="32"/>
          <w:szCs w:val="32"/>
        </w:rPr>
        <w:t>号公布</w:t>
      </w:r>
      <w:r w:rsidR="00C1588C" w:rsidRPr="00C1588C">
        <w:rPr>
          <w:rFonts w:cs="仿宋_GB2312" w:hint="eastAsia"/>
          <w:sz w:val="32"/>
          <w:szCs w:val="32"/>
        </w:rPr>
        <w:t xml:space="preserve">　自发布之日起施行</w:t>
      </w:r>
      <w:r>
        <w:rPr>
          <w:rFonts w:cs="仿宋_GB2312" w:hint="eastAsia"/>
          <w:sz w:val="32"/>
          <w:szCs w:val="32"/>
        </w:rPr>
        <w:t>）</w:t>
      </w:r>
    </w:p>
    <w:p w:rsidR="009A3480" w:rsidRDefault="009A3480">
      <w:pPr>
        <w:pStyle w:val="a8"/>
        <w:widowControl/>
        <w:spacing w:beforeAutospacing="0" w:afterAutospacing="0" w:line="600" w:lineRule="exact"/>
        <w:ind w:firstLine="640"/>
        <w:rPr>
          <w:rFonts w:cs="仿宋_GB2312"/>
          <w:sz w:val="32"/>
          <w:szCs w:val="32"/>
        </w:rPr>
      </w:pP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t>第一条</w:t>
      </w:r>
      <w:r>
        <w:rPr>
          <w:rFonts w:ascii="黑体" w:eastAsia="黑体" w:hAnsi="黑体" w:cs="黑体" w:hint="eastAsia"/>
          <w:sz w:val="32"/>
          <w:szCs w:val="32"/>
        </w:rPr>
        <w:t xml:space="preserve"> </w:t>
      </w:r>
      <w:r>
        <w:rPr>
          <w:rFonts w:cs="仿宋_GB2312" w:hint="eastAsia"/>
          <w:sz w:val="32"/>
          <w:szCs w:val="32"/>
        </w:rPr>
        <w:t>为了防御与减轻地震灾害，保护人民生命财产安全，依据《中华人民共和国防震减灾法》的有关规定，结合我市实际情况，制定本办法。</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t>第二条</w:t>
      </w:r>
      <w:r>
        <w:rPr>
          <w:rFonts w:ascii="黑体" w:eastAsia="黑体" w:hAnsi="黑体" w:cs="黑体" w:hint="eastAsia"/>
          <w:sz w:val="32"/>
          <w:szCs w:val="32"/>
        </w:rPr>
        <w:t xml:space="preserve"> </w:t>
      </w:r>
      <w:r>
        <w:rPr>
          <w:rFonts w:cs="仿宋_GB2312" w:hint="eastAsia"/>
          <w:sz w:val="32"/>
          <w:szCs w:val="32"/>
        </w:rPr>
        <w:t>本办法适用于我市行政区域内所有新建、扩建、改建的建设工程。</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t>第三条</w:t>
      </w:r>
      <w:r>
        <w:rPr>
          <w:rFonts w:ascii="黑体" w:eastAsia="黑体" w:hAnsi="黑体" w:cs="黑体" w:hint="eastAsia"/>
          <w:sz w:val="32"/>
          <w:szCs w:val="32"/>
        </w:rPr>
        <w:t xml:space="preserve"> </w:t>
      </w:r>
      <w:r>
        <w:rPr>
          <w:rFonts w:cs="仿宋_GB2312" w:hint="eastAsia"/>
          <w:sz w:val="32"/>
          <w:szCs w:val="32"/>
        </w:rPr>
        <w:t>重大建设工程和可能发生严重次</w:t>
      </w:r>
      <w:bookmarkStart w:id="0" w:name="_GoBack"/>
      <w:bookmarkEnd w:id="0"/>
      <w:r>
        <w:rPr>
          <w:rFonts w:cs="仿宋_GB2312" w:hint="eastAsia"/>
          <w:sz w:val="32"/>
          <w:szCs w:val="32"/>
        </w:rPr>
        <w:t>生灾害的建设工程，必须进行工程场地地震安全性评价工作，并根据其结果确定抗震设防要求，进行抗震设防。</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t>第四条</w:t>
      </w:r>
      <w:r>
        <w:rPr>
          <w:rFonts w:ascii="黑体" w:eastAsia="黑体" w:hAnsi="黑体" w:cs="黑体" w:hint="eastAsia"/>
          <w:sz w:val="32"/>
          <w:szCs w:val="32"/>
        </w:rPr>
        <w:t xml:space="preserve"> </w:t>
      </w:r>
      <w:r>
        <w:rPr>
          <w:rFonts w:cs="仿宋_GB2312" w:hint="eastAsia"/>
          <w:sz w:val="32"/>
          <w:szCs w:val="32"/>
        </w:rPr>
        <w:t>本办法所称重大建设工程，是指对社会有重大价值或者重大影响的工程。本办法所称严重次生灾害的工程，是指地震破坏后可能引发水灾、火灾、爆炸、剧毒或者强腐蚀性物质大量泄漏和其他严重次生灾害的建设工程，包括水库大坝、堤防和贮油、贮气、贮存易燃易爆、剧毒或者强腐蚀性物质的设施以及其他可能发生严重次生灾害的建设工程。</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lastRenderedPageBreak/>
        <w:t>第五条</w:t>
      </w:r>
      <w:r>
        <w:rPr>
          <w:rFonts w:ascii="黑体" w:eastAsia="黑体" w:hAnsi="黑体" w:cs="黑体" w:hint="eastAsia"/>
          <w:sz w:val="32"/>
          <w:szCs w:val="32"/>
        </w:rPr>
        <w:t xml:space="preserve"> </w:t>
      </w:r>
      <w:r>
        <w:rPr>
          <w:rFonts w:cs="仿宋_GB2312" w:hint="eastAsia"/>
          <w:sz w:val="32"/>
          <w:szCs w:val="32"/>
        </w:rPr>
        <w:t>凡我市新建、扩建、改建工程应把抗震设防要求作为审查内容，并纳入工程审批程序。</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cs="仿宋_GB2312" w:hint="eastAsia"/>
          <w:sz w:val="32"/>
          <w:szCs w:val="32"/>
        </w:rPr>
        <w:t>一般</w:t>
      </w:r>
      <w:r>
        <w:rPr>
          <w:rFonts w:cs="仿宋_GB2312" w:hint="eastAsia"/>
          <w:sz w:val="32"/>
          <w:szCs w:val="32"/>
        </w:rPr>
        <w:t>建设工程，必须依据国家颁发的烈度区划图，国家审批的城市地震小区划，市政府批准的城市防震减灾规划等有关法规、文件规定，进行抗震设防。</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t>第七条</w:t>
      </w:r>
      <w:r>
        <w:rPr>
          <w:rFonts w:ascii="黑体" w:eastAsia="黑体" w:hAnsi="黑体" w:cs="黑体" w:hint="eastAsia"/>
          <w:sz w:val="32"/>
          <w:szCs w:val="32"/>
        </w:rPr>
        <w:t xml:space="preserve"> </w:t>
      </w:r>
      <w:r>
        <w:rPr>
          <w:rFonts w:cs="仿宋_GB2312" w:hint="eastAsia"/>
          <w:sz w:val="32"/>
          <w:szCs w:val="32"/>
        </w:rPr>
        <w:t>市级以上重大建设工程或可能产生严重次生灾害的建设工程，由市地震行政主管部门根据建设工程场地地震安全性评价结果进行审定，确定抗震设防要求。</w:t>
      </w:r>
    </w:p>
    <w:p w:rsidR="009A3480" w:rsidRDefault="00CB2F91">
      <w:pPr>
        <w:pStyle w:val="a8"/>
        <w:widowControl/>
        <w:spacing w:beforeAutospacing="0" w:afterAutospacing="0" w:line="600" w:lineRule="exact"/>
        <w:ind w:firstLine="640"/>
        <w:rPr>
          <w:rFonts w:cs="仿宋_GB2312"/>
          <w:sz w:val="32"/>
          <w:szCs w:val="32"/>
        </w:rPr>
      </w:pPr>
      <w:r>
        <w:rPr>
          <w:rFonts w:cs="仿宋_GB2312" w:hint="eastAsia"/>
          <w:sz w:val="32"/>
          <w:szCs w:val="32"/>
        </w:rPr>
        <w:t>市建设行政主管部门根据抗震设防要求，对工程建设进行抗震设防。</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t>第八条</w:t>
      </w:r>
      <w:r>
        <w:rPr>
          <w:rFonts w:ascii="黑体" w:eastAsia="黑体" w:hAnsi="黑体" w:cs="黑体" w:hint="eastAsia"/>
          <w:sz w:val="32"/>
          <w:szCs w:val="32"/>
        </w:rPr>
        <w:t xml:space="preserve"> </w:t>
      </w:r>
      <w:r>
        <w:rPr>
          <w:rFonts w:cs="仿宋_GB2312" w:hint="eastAsia"/>
          <w:sz w:val="32"/>
          <w:szCs w:val="32"/>
        </w:rPr>
        <w:t>对下列地区应进行工程场地地震安全性评价，市地震主管部门依据经有关部门审定后的安全性评价报告的结果，确定工程的抗震设防要求：</w:t>
      </w:r>
    </w:p>
    <w:p w:rsidR="009A3480" w:rsidRDefault="00CB2F91">
      <w:pPr>
        <w:pStyle w:val="a8"/>
        <w:widowControl/>
        <w:spacing w:beforeAutospacing="0" w:afterAutospacing="0" w:line="600" w:lineRule="exact"/>
        <w:ind w:firstLine="640"/>
        <w:rPr>
          <w:rFonts w:cs="仿宋_GB2312"/>
          <w:sz w:val="32"/>
          <w:szCs w:val="32"/>
        </w:rPr>
      </w:pPr>
      <w:r>
        <w:rPr>
          <w:rFonts w:cs="仿宋_GB2312" w:hint="eastAsia"/>
          <w:sz w:val="32"/>
          <w:szCs w:val="32"/>
        </w:rPr>
        <w:t>（一）市属各类开发区；</w:t>
      </w:r>
    </w:p>
    <w:p w:rsidR="009A3480" w:rsidRDefault="00CB2F91">
      <w:pPr>
        <w:pStyle w:val="a8"/>
        <w:widowControl/>
        <w:spacing w:beforeAutospacing="0" w:afterAutospacing="0" w:line="600" w:lineRule="exact"/>
        <w:ind w:firstLine="640"/>
        <w:rPr>
          <w:rFonts w:cs="仿宋_GB2312"/>
          <w:sz w:val="32"/>
          <w:szCs w:val="32"/>
        </w:rPr>
      </w:pPr>
      <w:r>
        <w:rPr>
          <w:rFonts w:cs="仿宋_GB2312" w:hint="eastAsia"/>
          <w:sz w:val="32"/>
          <w:szCs w:val="32"/>
        </w:rPr>
        <w:t>（二）位于地震烈度分界线两侧跨越不同地质单元的工矿区、开发区、住宅区；</w:t>
      </w:r>
    </w:p>
    <w:p w:rsidR="009A3480" w:rsidRDefault="00CB2F91">
      <w:pPr>
        <w:pStyle w:val="a8"/>
        <w:widowControl/>
        <w:spacing w:beforeAutospacing="0" w:afterAutospacing="0" w:line="600" w:lineRule="exact"/>
        <w:ind w:firstLine="640"/>
        <w:rPr>
          <w:rFonts w:cs="仿宋_GB2312"/>
          <w:sz w:val="32"/>
          <w:szCs w:val="32"/>
        </w:rPr>
      </w:pPr>
      <w:r>
        <w:rPr>
          <w:rFonts w:cs="仿宋_GB2312" w:hint="eastAsia"/>
          <w:sz w:val="32"/>
          <w:szCs w:val="32"/>
        </w:rPr>
        <w:t>（三）位于新民、辽中、康平、法库及我市行政区域内活动断裂两侧地震地质研究程度较差地区的建设工程。</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lastRenderedPageBreak/>
        <w:t>第九条</w:t>
      </w:r>
      <w:r>
        <w:rPr>
          <w:rFonts w:ascii="黑体" w:eastAsia="黑体" w:hAnsi="黑体" w:cs="黑体" w:hint="eastAsia"/>
          <w:sz w:val="32"/>
          <w:szCs w:val="32"/>
        </w:rPr>
        <w:t xml:space="preserve"> </w:t>
      </w:r>
      <w:r>
        <w:rPr>
          <w:rFonts w:cs="仿宋_GB2312" w:hint="eastAsia"/>
          <w:sz w:val="32"/>
          <w:szCs w:val="32"/>
        </w:rPr>
        <w:t>凡是在我市行政区域内承担工程场地地震安全性评价工作的单位，必须持相应的资格证书，方可按证书级别承担其相应的地震安全性评价工作。</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t>第十条</w:t>
      </w:r>
      <w:r>
        <w:rPr>
          <w:rFonts w:ascii="黑体" w:eastAsia="黑体" w:hAnsi="黑体" w:cs="黑体" w:hint="eastAsia"/>
          <w:sz w:val="32"/>
          <w:szCs w:val="32"/>
        </w:rPr>
        <w:t xml:space="preserve"> </w:t>
      </w:r>
      <w:r>
        <w:rPr>
          <w:rFonts w:cs="仿宋_GB2312" w:hint="eastAsia"/>
          <w:sz w:val="32"/>
          <w:szCs w:val="32"/>
        </w:rPr>
        <w:t>建设单位上报的重大工程建设场地地震安全性评价工作研究报告和最终评价结果，必须经省或国家烈度评定委员会评审。</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t>第十一条</w:t>
      </w:r>
      <w:r>
        <w:rPr>
          <w:rFonts w:ascii="黑体" w:eastAsia="黑体" w:hAnsi="黑体" w:cs="黑体" w:hint="eastAsia"/>
          <w:sz w:val="32"/>
          <w:szCs w:val="32"/>
        </w:rPr>
        <w:t xml:space="preserve"> </w:t>
      </w:r>
      <w:r>
        <w:rPr>
          <w:rFonts w:cs="仿宋_GB2312" w:hint="eastAsia"/>
          <w:sz w:val="32"/>
          <w:szCs w:val="32"/>
        </w:rPr>
        <w:t>工程场地地震安全性评价工作实行有偿服务，所需经费由建设单位承担，其经费可纳入建设</w:t>
      </w:r>
      <w:r>
        <w:rPr>
          <w:rFonts w:cs="仿宋_GB2312" w:hint="eastAsia"/>
          <w:sz w:val="32"/>
          <w:szCs w:val="32"/>
        </w:rPr>
        <w:t>项目总投资中。</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t>第十二条</w:t>
      </w:r>
      <w:r>
        <w:rPr>
          <w:rFonts w:ascii="黑体" w:eastAsia="黑体" w:hAnsi="黑体" w:cs="黑体" w:hint="eastAsia"/>
          <w:sz w:val="32"/>
          <w:szCs w:val="32"/>
        </w:rPr>
        <w:t xml:space="preserve"> </w:t>
      </w:r>
      <w:r>
        <w:rPr>
          <w:rFonts w:cs="仿宋_GB2312" w:hint="eastAsia"/>
          <w:sz w:val="32"/>
          <w:szCs w:val="32"/>
        </w:rPr>
        <w:t>建设单位未按规定确定的抗震设防要求或设计单位擅自采用未经审批的抗震设防要求进行抗震设计的，地震工作主管部门有权责令其纠正，并视情节轻重处以一万元以上十万元以下罚款，或建议有关部门追究建设单位、设计单位主要负责人的责任。</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t>第十三条</w:t>
      </w:r>
      <w:r>
        <w:rPr>
          <w:rFonts w:ascii="黑体" w:eastAsia="黑体" w:hAnsi="黑体" w:cs="黑体" w:hint="eastAsia"/>
          <w:sz w:val="32"/>
          <w:szCs w:val="32"/>
        </w:rPr>
        <w:t xml:space="preserve"> </w:t>
      </w:r>
      <w:r>
        <w:rPr>
          <w:rFonts w:cs="仿宋_GB2312" w:hint="eastAsia"/>
          <w:sz w:val="32"/>
          <w:szCs w:val="32"/>
        </w:rPr>
        <w:t>实行行政处罚，必须依照法定程序进行。罚没款必须及时足额上缴同级财政。</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t>第十四条</w:t>
      </w:r>
      <w:r>
        <w:rPr>
          <w:rFonts w:ascii="黑体" w:eastAsia="黑体" w:hAnsi="黑体" w:cs="黑体" w:hint="eastAsia"/>
          <w:sz w:val="32"/>
          <w:szCs w:val="32"/>
        </w:rPr>
        <w:t xml:space="preserve"> </w:t>
      </w:r>
      <w:r>
        <w:rPr>
          <w:rFonts w:cs="仿宋_GB2312" w:hint="eastAsia"/>
          <w:sz w:val="32"/>
          <w:szCs w:val="32"/>
        </w:rPr>
        <w:t>对在建设工程抗震设防要求管理中取得显著成绩的单位和个人，或在学术、技术上有突出贡献的，市政府应当给予表彰和奖励。</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lastRenderedPageBreak/>
        <w:t>第十五条</w:t>
      </w:r>
      <w:r>
        <w:rPr>
          <w:rFonts w:ascii="黑体" w:eastAsia="黑体" w:hAnsi="黑体" w:cs="黑体" w:hint="eastAsia"/>
          <w:sz w:val="32"/>
          <w:szCs w:val="32"/>
        </w:rPr>
        <w:t xml:space="preserve"> </w:t>
      </w:r>
      <w:r>
        <w:rPr>
          <w:rFonts w:cs="仿宋_GB2312" w:hint="eastAsia"/>
          <w:sz w:val="32"/>
          <w:szCs w:val="32"/>
        </w:rPr>
        <w:t>行政主管部门的工作人员必须秉公执法，认真履行职责，对滥用职权、玩忽职守、徇私舞弊的给予行政处分；情节严重构成犯罪的，依法追究刑事责任。</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t>第十六条</w:t>
      </w:r>
      <w:r>
        <w:rPr>
          <w:rFonts w:ascii="黑体" w:eastAsia="黑体" w:hAnsi="黑体" w:cs="黑体" w:hint="eastAsia"/>
          <w:sz w:val="32"/>
          <w:szCs w:val="32"/>
        </w:rPr>
        <w:t xml:space="preserve"> </w:t>
      </w:r>
      <w:r>
        <w:rPr>
          <w:rFonts w:cs="仿宋_GB2312" w:hint="eastAsia"/>
          <w:sz w:val="32"/>
          <w:szCs w:val="32"/>
        </w:rPr>
        <w:t>当事人对行政处罚不服的，可依法申请复议或向人民法院起诉。当事人逾期不申请复议也不向人民法院起诉，又不履行处罚决定的，由作出处罚决定的机关申请人民法院强制执行。</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t>第十七条</w:t>
      </w:r>
      <w:r>
        <w:rPr>
          <w:rFonts w:ascii="黑体" w:eastAsia="黑体" w:hAnsi="黑体" w:cs="黑体" w:hint="eastAsia"/>
          <w:sz w:val="32"/>
          <w:szCs w:val="32"/>
        </w:rPr>
        <w:t xml:space="preserve"> </w:t>
      </w:r>
      <w:r>
        <w:rPr>
          <w:rFonts w:cs="仿宋_GB2312" w:hint="eastAsia"/>
          <w:sz w:val="32"/>
          <w:szCs w:val="32"/>
        </w:rPr>
        <w:t>本办法在执行中的具体问题由市政府法制办公室负责解释。</w:t>
      </w:r>
    </w:p>
    <w:p w:rsidR="009A3480" w:rsidRDefault="00CB2F91">
      <w:pPr>
        <w:pStyle w:val="a8"/>
        <w:widowControl/>
        <w:spacing w:beforeAutospacing="0" w:afterAutospacing="0" w:line="600" w:lineRule="exact"/>
        <w:ind w:firstLine="640"/>
        <w:rPr>
          <w:rFonts w:cs="仿宋_GB2312"/>
          <w:sz w:val="32"/>
          <w:szCs w:val="32"/>
        </w:rPr>
      </w:pPr>
      <w:r>
        <w:rPr>
          <w:rFonts w:ascii="黑体" w:eastAsia="黑体" w:hAnsi="黑体" w:cs="黑体" w:hint="eastAsia"/>
          <w:sz w:val="32"/>
          <w:szCs w:val="32"/>
        </w:rPr>
        <w:t>第十八条</w:t>
      </w:r>
      <w:r>
        <w:rPr>
          <w:rFonts w:ascii="黑体" w:eastAsia="黑体" w:hAnsi="黑体" w:cs="黑体" w:hint="eastAsia"/>
          <w:sz w:val="32"/>
          <w:szCs w:val="32"/>
        </w:rPr>
        <w:t xml:space="preserve"> </w:t>
      </w:r>
      <w:r>
        <w:rPr>
          <w:rFonts w:cs="仿宋_GB2312" w:hint="eastAsia"/>
          <w:sz w:val="32"/>
          <w:szCs w:val="32"/>
        </w:rPr>
        <w:t>本办法自发布之日起施行。</w:t>
      </w:r>
    </w:p>
    <w:p w:rsidR="009A3480" w:rsidRDefault="009A3480">
      <w:pPr>
        <w:spacing w:line="600" w:lineRule="exact"/>
        <w:ind w:firstLineChars="0" w:firstLine="0"/>
        <w:rPr>
          <w:sz w:val="32"/>
          <w:szCs w:val="32"/>
        </w:rPr>
      </w:pPr>
    </w:p>
    <w:sectPr w:rsidR="009A3480" w:rsidSect="009A3480">
      <w:headerReference w:type="even" r:id="rId7"/>
      <w:headerReference w:type="default" r:id="rId8"/>
      <w:footerReference w:type="even" r:id="rId9"/>
      <w:footerReference w:type="default" r:id="rId10"/>
      <w:headerReference w:type="first" r:id="rId11"/>
      <w:footerReference w:type="firs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F91" w:rsidRDefault="00CB2F91">
      <w:pPr>
        <w:spacing w:line="240" w:lineRule="auto"/>
        <w:ind w:firstLine="480"/>
      </w:pPr>
      <w:r>
        <w:separator/>
      </w:r>
    </w:p>
  </w:endnote>
  <w:endnote w:type="continuationSeparator" w:id="0">
    <w:p w:rsidR="00CB2F91" w:rsidRDefault="00CB2F91">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80" w:rsidRDefault="009A3480">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80" w:rsidRDefault="009A3480">
    <w:pPr>
      <w:pStyle w:val="a7"/>
      <w:ind w:leftChars="2280" w:left="5472" w:firstLineChars="2000" w:firstLine="6400"/>
      <w:rPr>
        <w:rFonts w:eastAsia="仿宋"/>
        <w:sz w:val="32"/>
        <w:szCs w:val="48"/>
      </w:rPr>
    </w:pPr>
    <w:r w:rsidRPr="009A3480">
      <w:rPr>
        <w:sz w:val="32"/>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9A3480" w:rsidRDefault="009A3480">
                <w:pPr>
                  <w:pStyle w:val="a6"/>
                  <w:ind w:firstLine="560"/>
                </w:pPr>
                <w:r>
                  <w:rPr>
                    <w:rFonts w:ascii="宋体" w:eastAsia="宋体" w:hAnsi="宋体" w:cs="宋体" w:hint="eastAsia"/>
                    <w:sz w:val="28"/>
                    <w:szCs w:val="28"/>
                  </w:rPr>
                  <w:fldChar w:fldCharType="begin"/>
                </w:r>
                <w:r w:rsidR="00CB2F91">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588C">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r w:rsidR="00CB2F91">
      <w:rPr>
        <w:rFonts w:eastAsia="仿宋" w:hint="eastAsia"/>
        <w:sz w:val="32"/>
        <w:szCs w:val="48"/>
      </w:rPr>
      <w:t xml:space="preserve">  </w:t>
    </w:r>
  </w:p>
  <w:p w:rsidR="009A3480" w:rsidRDefault="009A3480">
    <w:pPr>
      <w:pStyle w:val="a7"/>
      <w:wordWrap w:val="0"/>
      <w:ind w:leftChars="2280" w:left="5472" w:firstLineChars="2000" w:firstLine="6400"/>
      <w:jc w:val="right"/>
      <w:rPr>
        <w:rFonts w:ascii="宋体" w:eastAsia="宋体" w:hAnsi="宋体" w:cs="宋体"/>
        <w:b/>
        <w:bCs/>
        <w:color w:val="005192"/>
        <w:sz w:val="28"/>
        <w:szCs w:val="44"/>
      </w:rPr>
    </w:pPr>
    <w:r w:rsidRPr="009A3480">
      <w:rPr>
        <w:color w:val="FAFAFA"/>
        <w:sz w:val="32"/>
      </w:rPr>
      <w:pict>
        <v:line id="_x0000_s1027" style="position:absolute;left:0;text-align:left;z-index:251660288"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strokecolor="#005192" strokeweight="1.75pt">
          <v:stroke joinstyle="miter"/>
        </v:line>
      </w:pict>
    </w:r>
    <w:r w:rsidR="00CB2F91">
      <w:rPr>
        <w:rFonts w:eastAsia="仿宋" w:hint="eastAsia"/>
        <w:color w:val="FAFAFA"/>
        <w:sz w:val="32"/>
        <w:szCs w:val="48"/>
      </w:rPr>
      <w:t>X</w:t>
    </w:r>
    <w:r w:rsidR="00CB2F91">
      <w:rPr>
        <w:rFonts w:eastAsia="仿宋" w:hint="eastAsia"/>
        <w:color w:val="FAFAFA"/>
        <w:sz w:val="32"/>
        <w:szCs w:val="48"/>
      </w:rPr>
      <w:t>辽宁</w:t>
    </w:r>
    <w:r w:rsidR="00CB2F91">
      <w:rPr>
        <w:rFonts w:ascii="宋体" w:eastAsia="宋体" w:hAnsi="宋体" w:cs="宋体" w:hint="eastAsia"/>
        <w:b/>
        <w:bCs/>
        <w:color w:val="005192"/>
        <w:sz w:val="28"/>
        <w:szCs w:val="44"/>
      </w:rPr>
      <w:t>沈阳市人民政府发布</w:t>
    </w:r>
  </w:p>
  <w:p w:rsidR="009A3480" w:rsidRDefault="009A3480" w:rsidP="00C1588C">
    <w:pPr>
      <w:pStyle w:val="a7"/>
      <w:wordWrap w:val="0"/>
      <w:ind w:leftChars="2280" w:left="5472" w:firstLineChars="2000" w:firstLine="5622"/>
      <w:jc w:val="right"/>
      <w:rPr>
        <w:rFonts w:ascii="宋体" w:eastAsia="宋体" w:hAnsi="宋体" w:cs="宋体"/>
        <w:b/>
        <w:bCs/>
        <w:color w:val="005192"/>
        <w:sz w:val="28"/>
        <w:szCs w:val="4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80" w:rsidRDefault="009A3480">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F91" w:rsidRDefault="00CB2F91">
      <w:pPr>
        <w:spacing w:line="240" w:lineRule="auto"/>
        <w:ind w:firstLine="480"/>
      </w:pPr>
      <w:r>
        <w:separator/>
      </w:r>
    </w:p>
  </w:footnote>
  <w:footnote w:type="continuationSeparator" w:id="0">
    <w:p w:rsidR="00CB2F91" w:rsidRDefault="00CB2F91">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80" w:rsidRDefault="009A3480">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80" w:rsidRDefault="009A3480">
    <w:pPr>
      <w:pStyle w:val="a7"/>
      <w:ind w:firstLine="643"/>
      <w:textAlignment w:val="center"/>
      <w:rPr>
        <w:rFonts w:ascii="宋体" w:eastAsia="宋体" w:hAnsi="宋体" w:cs="宋体"/>
        <w:b/>
        <w:bCs/>
        <w:color w:val="005192"/>
        <w:sz w:val="32"/>
      </w:rPr>
    </w:pPr>
    <w:r>
      <w:rPr>
        <w:rFonts w:ascii="宋体" w:eastAsia="宋体" w:hAnsi="宋体" w:cs="宋体"/>
        <w:b/>
        <w:bCs/>
        <w:color w:val="005192"/>
        <w:sz w:val="32"/>
      </w:rPr>
      <w:pict>
        <v:line id="_x0000_s1026" style="position:absolute;left:0;text-align:left;z-index:251659264" from="-.3pt,54.35pt" to="442.25pt,54.35pt"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strokecolor="#005192" strokeweight="1.75pt">
          <v:stroke joinstyle="miter"/>
        </v:line>
      </w:pict>
    </w:r>
  </w:p>
  <w:p w:rsidR="009A3480" w:rsidRDefault="00CB2F91">
    <w:pPr>
      <w:pStyle w:val="a7"/>
      <w:ind w:firstLineChars="0" w:firstLine="0"/>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沈阳市人民政府</w:t>
    </w:r>
    <w:r>
      <w:rPr>
        <w:rFonts w:ascii="宋体" w:eastAsia="宋体" w:hAnsi="宋体" w:cs="宋体" w:hint="eastAsia"/>
        <w:b/>
        <w:bCs/>
        <w:color w:val="005192"/>
        <w:sz w:val="32"/>
        <w:szCs w:val="32"/>
      </w:rPr>
      <w:t>规章</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80" w:rsidRDefault="009A3480">
    <w:pPr>
      <w:pStyle w:val="a7"/>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F7FF82D5"/>
    <w:rsid w:val="00172A27"/>
    <w:rsid w:val="006B0EDA"/>
    <w:rsid w:val="006D58CA"/>
    <w:rsid w:val="00993565"/>
    <w:rsid w:val="009A3480"/>
    <w:rsid w:val="00C1588C"/>
    <w:rsid w:val="00CB2F91"/>
    <w:rsid w:val="00DC69F9"/>
    <w:rsid w:val="019E71BD"/>
    <w:rsid w:val="04B679C3"/>
    <w:rsid w:val="080F63D8"/>
    <w:rsid w:val="09341458"/>
    <w:rsid w:val="0B0912D7"/>
    <w:rsid w:val="152D2DCA"/>
    <w:rsid w:val="1AC85722"/>
    <w:rsid w:val="1C2B3615"/>
    <w:rsid w:val="1DEC284C"/>
    <w:rsid w:val="1E6523AC"/>
    <w:rsid w:val="22440422"/>
    <w:rsid w:val="2E645478"/>
    <w:rsid w:val="316023F9"/>
    <w:rsid w:val="31A15F24"/>
    <w:rsid w:val="379A6DDD"/>
    <w:rsid w:val="395347B5"/>
    <w:rsid w:val="39A232A0"/>
    <w:rsid w:val="39E745AA"/>
    <w:rsid w:val="3B5A6BBB"/>
    <w:rsid w:val="3EDA13A6"/>
    <w:rsid w:val="42F058B7"/>
    <w:rsid w:val="436109F6"/>
    <w:rsid w:val="441A38D4"/>
    <w:rsid w:val="4B9D46A5"/>
    <w:rsid w:val="4BC77339"/>
    <w:rsid w:val="4C9236C5"/>
    <w:rsid w:val="505C172E"/>
    <w:rsid w:val="52F46F0B"/>
    <w:rsid w:val="53D8014D"/>
    <w:rsid w:val="55E064E0"/>
    <w:rsid w:val="572C6D10"/>
    <w:rsid w:val="5DC34279"/>
    <w:rsid w:val="608816D1"/>
    <w:rsid w:val="60EF4E7F"/>
    <w:rsid w:val="62A44DD0"/>
    <w:rsid w:val="660254A6"/>
    <w:rsid w:val="665233C1"/>
    <w:rsid w:val="67470A9D"/>
    <w:rsid w:val="6AD9688B"/>
    <w:rsid w:val="6BC5581F"/>
    <w:rsid w:val="6D0E3F22"/>
    <w:rsid w:val="6E760DD7"/>
    <w:rsid w:val="7C9011D9"/>
    <w:rsid w:val="7DC651C5"/>
    <w:rsid w:val="7FCC2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A3480"/>
    <w:pPr>
      <w:widowControl w:val="0"/>
      <w:spacing w:line="400" w:lineRule="exact"/>
      <w:ind w:firstLineChars="200" w:firstLine="720"/>
      <w:jc w:val="both"/>
    </w:pPr>
    <w:rPr>
      <w:rFonts w:ascii="仿宋_GB2312" w:eastAsia="仿宋_GB2312" w:hAnsi="仿宋_GB2312"/>
      <w:kern w:val="2"/>
      <w:sz w:val="24"/>
      <w:szCs w:val="22"/>
    </w:rPr>
  </w:style>
  <w:style w:type="paragraph" w:styleId="1">
    <w:name w:val="heading 1"/>
    <w:basedOn w:val="a"/>
    <w:next w:val="a"/>
    <w:qFormat/>
    <w:rsid w:val="009A3480"/>
    <w:pPr>
      <w:keepNext/>
      <w:keepLines/>
      <w:spacing w:afterLines="100" w:line="600" w:lineRule="exact"/>
      <w:ind w:firstLineChars="0" w:firstLine="0"/>
      <w:jc w:val="center"/>
      <w:outlineLvl w:val="0"/>
    </w:pPr>
    <w:rPr>
      <w:rFonts w:ascii="Times New Roman" w:eastAsia="方正小标宋简体" w:hAnsi="Times New Roman"/>
      <w:kern w:val="44"/>
      <w:sz w:val="36"/>
    </w:rPr>
  </w:style>
  <w:style w:type="paragraph" w:styleId="2">
    <w:name w:val="heading 2"/>
    <w:basedOn w:val="a"/>
    <w:next w:val="a"/>
    <w:qFormat/>
    <w:rsid w:val="009A3480"/>
    <w:pPr>
      <w:keepNext/>
      <w:keepLines/>
      <w:ind w:firstLineChars="0" w:firstLine="0"/>
      <w:outlineLvl w:val="1"/>
    </w:pPr>
    <w:rPr>
      <w:rFonts w:ascii="楷体_GB2312" w:eastAsia="楷体_GB2312" w:hAnsi="楷体_GB2312"/>
    </w:rPr>
  </w:style>
  <w:style w:type="paragraph" w:styleId="3">
    <w:name w:val="heading 3"/>
    <w:basedOn w:val="a"/>
    <w:next w:val="a"/>
    <w:link w:val="3Char"/>
    <w:qFormat/>
    <w:rsid w:val="009A3480"/>
    <w:pPr>
      <w:spacing w:before="100" w:beforeAutospacing="1" w:after="100" w:afterAutospacing="1"/>
      <w:jc w:val="left"/>
      <w:outlineLvl w:val="2"/>
    </w:pPr>
    <w:rPr>
      <w:rFonts w:ascii="宋体" w:eastAsia="黑体" w:hAnsi="宋体" w:hint="eastAsia"/>
      <w:kern w:val="0"/>
      <w:szCs w:val="27"/>
    </w:rPr>
  </w:style>
  <w:style w:type="paragraph" w:styleId="4">
    <w:name w:val="heading 4"/>
    <w:basedOn w:val="a"/>
    <w:next w:val="a"/>
    <w:qFormat/>
    <w:rsid w:val="009A3480"/>
    <w:pPr>
      <w:keepNext/>
      <w:spacing w:beforeLines="50" w:afterLines="50"/>
      <w:ind w:firstLineChars="0" w:firstLine="0"/>
      <w:jc w:val="center"/>
      <w:outlineLvl w:val="3"/>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rsid w:val="009A3480"/>
    <w:pPr>
      <w:ind w:firstLine="632"/>
    </w:pPr>
  </w:style>
  <w:style w:type="paragraph" w:styleId="a4">
    <w:name w:val="annotation text"/>
    <w:basedOn w:val="a"/>
    <w:qFormat/>
    <w:rsid w:val="009A3480"/>
    <w:pPr>
      <w:jc w:val="left"/>
    </w:pPr>
  </w:style>
  <w:style w:type="paragraph" w:styleId="a5">
    <w:name w:val="Balloon Text"/>
    <w:basedOn w:val="a"/>
    <w:link w:val="Char"/>
    <w:qFormat/>
    <w:rsid w:val="009A3480"/>
    <w:pPr>
      <w:spacing w:line="240" w:lineRule="auto"/>
    </w:pPr>
    <w:rPr>
      <w:sz w:val="18"/>
      <w:szCs w:val="18"/>
    </w:rPr>
  </w:style>
  <w:style w:type="paragraph" w:styleId="a6">
    <w:name w:val="footer"/>
    <w:basedOn w:val="a"/>
    <w:qFormat/>
    <w:rsid w:val="009A3480"/>
    <w:pPr>
      <w:tabs>
        <w:tab w:val="center" w:pos="4153"/>
        <w:tab w:val="right" w:pos="8306"/>
      </w:tabs>
      <w:snapToGrid w:val="0"/>
      <w:jc w:val="left"/>
    </w:pPr>
    <w:rPr>
      <w:sz w:val="18"/>
    </w:rPr>
  </w:style>
  <w:style w:type="paragraph" w:styleId="a7">
    <w:name w:val="header"/>
    <w:basedOn w:val="a"/>
    <w:qFormat/>
    <w:rsid w:val="009A348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8">
    <w:name w:val="Normal (Web)"/>
    <w:basedOn w:val="a"/>
    <w:qFormat/>
    <w:rsid w:val="009A3480"/>
    <w:pPr>
      <w:spacing w:beforeAutospacing="1" w:afterAutospacing="1"/>
      <w:jc w:val="left"/>
    </w:pPr>
    <w:rPr>
      <w:kern w:val="0"/>
    </w:rPr>
  </w:style>
  <w:style w:type="character" w:styleId="a9">
    <w:name w:val="Strong"/>
    <w:qFormat/>
    <w:rsid w:val="009A3480"/>
    <w:rPr>
      <w:b/>
    </w:rPr>
  </w:style>
  <w:style w:type="character" w:styleId="aa">
    <w:name w:val="Hyperlink"/>
    <w:qFormat/>
    <w:rsid w:val="009A3480"/>
    <w:rPr>
      <w:color w:val="0000FF"/>
      <w:u w:val="single"/>
    </w:rPr>
  </w:style>
  <w:style w:type="character" w:customStyle="1" w:styleId="3Char">
    <w:name w:val="标题 3 Char"/>
    <w:link w:val="3"/>
    <w:qFormat/>
    <w:rsid w:val="009A3480"/>
    <w:rPr>
      <w:rFonts w:ascii="宋体" w:eastAsia="黑体" w:hAnsi="宋体" w:cs="宋体" w:hint="eastAsia"/>
      <w:kern w:val="0"/>
      <w:sz w:val="24"/>
      <w:szCs w:val="27"/>
    </w:rPr>
  </w:style>
  <w:style w:type="character" w:customStyle="1" w:styleId="Char">
    <w:name w:val="批注框文本 Char"/>
    <w:basedOn w:val="a1"/>
    <w:link w:val="a5"/>
    <w:qFormat/>
    <w:rsid w:val="009A3480"/>
    <w:rPr>
      <w:rFonts w:ascii="仿宋_GB2312" w:eastAsia="仿宋_GB2312" w:hAnsi="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Administrator</cp:lastModifiedBy>
  <cp:revision>4</cp:revision>
  <cp:lastPrinted>2021-10-26T19:30:00Z</cp:lastPrinted>
  <dcterms:created xsi:type="dcterms:W3CDTF">2022-12-30T18:28:00Z</dcterms:created>
  <dcterms:modified xsi:type="dcterms:W3CDTF">2023-03-25T12:09:00Z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5A899ADC038D466D900B502E9B066601</vt:lpwstr>
  </property>
</Properties>
</file>