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0C" w:rsidRDefault="0005530C" w:rsidP="00F5339A">
      <w:pPr>
        <w:pStyle w:val="3"/>
        <w:widowControl/>
        <w:spacing w:before="0" w:beforeAutospacing="0" w:after="0" w:afterAutospacing="0" w:line="600" w:lineRule="exact"/>
        <w:ind w:firstLine="880"/>
        <w:jc w:val="center"/>
        <w:rPr>
          <w:rFonts w:ascii="方正小标宋简体" w:eastAsia="方正小标宋简体" w:hAnsi="方正小标宋简体" w:cs="方正小标宋简体" w:hint="default"/>
          <w:sz w:val="44"/>
          <w:szCs w:val="44"/>
        </w:rPr>
      </w:pPr>
    </w:p>
    <w:p w:rsidR="0005530C" w:rsidRDefault="0005530C">
      <w:pPr>
        <w:pStyle w:val="3"/>
        <w:widowControl/>
        <w:spacing w:before="0" w:beforeAutospacing="0" w:after="0" w:afterAutospacing="0" w:line="600" w:lineRule="exact"/>
        <w:ind w:firstLineChars="0" w:firstLine="0"/>
        <w:jc w:val="center"/>
        <w:rPr>
          <w:rFonts w:ascii="方正小标宋简体" w:eastAsia="方正小标宋简体" w:hAnsi="方正小标宋简体" w:cs="方正小标宋简体" w:hint="default"/>
          <w:sz w:val="44"/>
          <w:szCs w:val="44"/>
        </w:rPr>
      </w:pPr>
    </w:p>
    <w:p w:rsidR="0005530C" w:rsidRDefault="00F3678E">
      <w:pPr>
        <w:pStyle w:val="3"/>
        <w:widowControl/>
        <w:spacing w:before="0" w:beforeAutospacing="0" w:after="0" w:afterAutospacing="0" w:line="600" w:lineRule="exact"/>
        <w:ind w:firstLineChars="0" w:firstLine="0"/>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沈阳市相对集中城市管理行政处罚权规定</w:t>
      </w:r>
    </w:p>
    <w:p w:rsidR="0005530C" w:rsidRDefault="00F3678E">
      <w:pPr>
        <w:pStyle w:val="a8"/>
        <w:widowControl/>
        <w:spacing w:afterAutospacing="0" w:line="600" w:lineRule="exact"/>
        <w:ind w:firstLineChars="0" w:firstLine="0"/>
        <w:jc w:val="center"/>
        <w:rPr>
          <w:rFonts w:cs="仿宋_GB2312"/>
          <w:kern w:val="2"/>
          <w:sz w:val="32"/>
          <w:szCs w:val="32"/>
        </w:rPr>
      </w:pPr>
      <w:r>
        <w:rPr>
          <w:rFonts w:cs="仿宋_GB2312" w:hint="eastAsia"/>
          <w:kern w:val="2"/>
          <w:sz w:val="32"/>
          <w:szCs w:val="32"/>
        </w:rPr>
        <w:t>（</w:t>
      </w:r>
      <w:r>
        <w:rPr>
          <w:rFonts w:cs="仿宋_GB2312" w:hint="eastAsia"/>
          <w:kern w:val="2"/>
          <w:sz w:val="32"/>
          <w:szCs w:val="32"/>
        </w:rPr>
        <w:t>2005</w:t>
      </w:r>
      <w:r>
        <w:rPr>
          <w:rFonts w:cs="仿宋_GB2312" w:hint="eastAsia"/>
          <w:kern w:val="2"/>
          <w:sz w:val="32"/>
          <w:szCs w:val="32"/>
        </w:rPr>
        <w:t>年</w:t>
      </w:r>
      <w:r>
        <w:rPr>
          <w:rFonts w:cs="仿宋_GB2312" w:hint="eastAsia"/>
          <w:kern w:val="2"/>
          <w:sz w:val="32"/>
          <w:szCs w:val="32"/>
        </w:rPr>
        <w:t>4</w:t>
      </w:r>
      <w:r>
        <w:rPr>
          <w:rFonts w:cs="仿宋_GB2312" w:hint="eastAsia"/>
          <w:kern w:val="2"/>
          <w:sz w:val="32"/>
          <w:szCs w:val="32"/>
        </w:rPr>
        <w:t>月</w:t>
      </w:r>
      <w:r>
        <w:rPr>
          <w:rFonts w:cs="仿宋_GB2312" w:hint="eastAsia"/>
          <w:kern w:val="2"/>
          <w:sz w:val="32"/>
          <w:szCs w:val="32"/>
        </w:rPr>
        <w:t>25</w:t>
      </w:r>
      <w:r>
        <w:rPr>
          <w:rFonts w:cs="仿宋_GB2312" w:hint="eastAsia"/>
          <w:kern w:val="2"/>
          <w:sz w:val="32"/>
          <w:szCs w:val="32"/>
        </w:rPr>
        <w:t>日沈阳市人民政府令第</w:t>
      </w:r>
      <w:r>
        <w:rPr>
          <w:rFonts w:cs="仿宋_GB2312" w:hint="eastAsia"/>
          <w:kern w:val="2"/>
          <w:sz w:val="32"/>
          <w:szCs w:val="32"/>
        </w:rPr>
        <w:t>41</w:t>
      </w:r>
      <w:r>
        <w:rPr>
          <w:rFonts w:cs="仿宋_GB2312" w:hint="eastAsia"/>
          <w:kern w:val="2"/>
          <w:sz w:val="32"/>
          <w:szCs w:val="32"/>
        </w:rPr>
        <w:t>号公布</w:t>
      </w:r>
      <w:r w:rsidR="00F5339A" w:rsidRPr="00F5339A">
        <w:rPr>
          <w:rFonts w:cs="仿宋_GB2312" w:hint="eastAsia"/>
          <w:kern w:val="2"/>
          <w:sz w:val="32"/>
          <w:szCs w:val="32"/>
        </w:rPr>
        <w:t xml:space="preserve">　自</w:t>
      </w:r>
      <w:r w:rsidR="00F5339A" w:rsidRPr="00F5339A">
        <w:rPr>
          <w:rFonts w:cs="仿宋_GB2312"/>
          <w:kern w:val="2"/>
          <w:sz w:val="32"/>
          <w:szCs w:val="32"/>
        </w:rPr>
        <w:t>2005年6月1日起施行</w:t>
      </w:r>
      <w:r>
        <w:rPr>
          <w:rFonts w:cs="仿宋_GB2312" w:hint="eastAsia"/>
          <w:kern w:val="2"/>
          <w:sz w:val="32"/>
          <w:szCs w:val="32"/>
        </w:rPr>
        <w:t>）</w:t>
      </w:r>
    </w:p>
    <w:p w:rsidR="0005530C" w:rsidRDefault="0005530C">
      <w:pPr>
        <w:pStyle w:val="titles"/>
        <w:widowControl/>
        <w:spacing w:line="600" w:lineRule="exact"/>
        <w:ind w:firstLine="700"/>
        <w:jc w:val="both"/>
        <w:rPr>
          <w:rFonts w:ascii="黑体" w:eastAsia="黑体" w:hAnsi="黑体" w:cs="黑体"/>
          <w:b w:val="0"/>
          <w:bCs w:val="0"/>
          <w:kern w:val="2"/>
          <w:sz w:val="32"/>
          <w:szCs w:val="32"/>
        </w:rPr>
      </w:pPr>
    </w:p>
    <w:p w:rsidR="0005530C" w:rsidRDefault="00F3678E" w:rsidP="00F5339A">
      <w:pPr>
        <w:spacing w:beforeLines="100" w:afterLines="100" w:line="60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cs="仿宋_GB2312" w:hint="eastAsia"/>
          <w:sz w:val="32"/>
          <w:szCs w:val="32"/>
        </w:rPr>
        <w:t>为加强城市管理，维护城市秩序，提高行政执法水平和效能，优化执法环境，保护公民、法人和其他组织的合法权益，根据《中华人民共和国行政处罚法》及有关法律、法规、规章的规定，结合本市实际，制定本规定。</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cs="仿宋_GB2312" w:hint="eastAsia"/>
          <w:sz w:val="32"/>
          <w:szCs w:val="32"/>
        </w:rPr>
        <w:t>在本市行政区域内，相对集中城市管理行政处罚权的行政执法机关实施行政处罚，适用本规定。</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第三条</w:t>
      </w:r>
      <w:r>
        <w:rPr>
          <w:rFonts w:cs="仿宋_GB2312" w:hint="eastAsia"/>
          <w:sz w:val="32"/>
          <w:szCs w:val="32"/>
        </w:rPr>
        <w:t xml:space="preserve"> </w:t>
      </w:r>
      <w:r>
        <w:rPr>
          <w:rFonts w:cs="仿宋_GB2312" w:hint="eastAsia"/>
          <w:sz w:val="32"/>
          <w:szCs w:val="32"/>
        </w:rPr>
        <w:t>市城市管理行政执法局是经国务院授权，并经省政府批准设立的相对集中行使城市管理行政处罚权的行政执法机关，具体行使本市相对集中城市管理行政处罚权。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各区、县（市）城市管理行政执法分局在本辖区内行使相对集中城市管理行政处罚权。</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lastRenderedPageBreak/>
        <w:t>第四条</w:t>
      </w:r>
      <w:r>
        <w:rPr>
          <w:rFonts w:ascii="黑体" w:eastAsia="黑体" w:hAnsi="黑体" w:cs="黑体" w:hint="eastAsia"/>
          <w:sz w:val="32"/>
          <w:szCs w:val="32"/>
        </w:rPr>
        <w:t xml:space="preserve"> </w:t>
      </w:r>
      <w:r>
        <w:rPr>
          <w:rFonts w:cs="仿宋_GB2312" w:hint="eastAsia"/>
          <w:sz w:val="32"/>
          <w:szCs w:val="32"/>
        </w:rPr>
        <w:t>城市管理行政执法工作实行地域管辖和级别管辖，级别管辖范围由市城市管理行政执法局确定。</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第五条</w:t>
      </w:r>
      <w:r>
        <w:rPr>
          <w:rFonts w:cs="仿宋_GB2312" w:hint="eastAsia"/>
          <w:sz w:val="32"/>
          <w:szCs w:val="32"/>
        </w:rPr>
        <w:t xml:space="preserve"> </w:t>
      </w:r>
      <w:r>
        <w:rPr>
          <w:rFonts w:cs="仿宋_GB2312" w:hint="eastAsia"/>
          <w:sz w:val="32"/>
          <w:szCs w:val="32"/>
        </w:rPr>
        <w:t>城市管理行政执法工作实行查处分离制度、罚缴分离制度。</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cs="仿宋_GB2312" w:hint="eastAsia"/>
          <w:sz w:val="32"/>
          <w:szCs w:val="32"/>
        </w:rPr>
        <w:t>城市管理行政处罚遵循公开、公正的原则。实施行政处罚以事实为依据，并与违法行为的事实、性质、情节以及社会危害程度相当。</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城市管理行政执法机关应当正确行使行政处罚权，切实维护公共利益和社会秩序，保护公民、法人和其他组织的合法权益。</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cs="仿宋_GB2312" w:hint="eastAsia"/>
          <w:sz w:val="32"/>
          <w:szCs w:val="32"/>
        </w:rPr>
        <w:t>城市管理行政执法机关实施行政处罚，纠正违法行为，应当坚持处罚与教育相结合，教育公民、法人或者其他组织自觉守法。</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第八条</w:t>
      </w:r>
      <w:r>
        <w:rPr>
          <w:rFonts w:cs="仿宋_GB2312" w:hint="eastAsia"/>
          <w:sz w:val="32"/>
          <w:szCs w:val="32"/>
        </w:rPr>
        <w:t xml:space="preserve"> </w:t>
      </w:r>
      <w:r>
        <w:rPr>
          <w:rFonts w:cs="仿宋_GB2312" w:hint="eastAsia"/>
          <w:sz w:val="32"/>
          <w:szCs w:val="32"/>
        </w:rPr>
        <w:t>城市管理行政处罚权相对集中后，原相关行政主管部门不得再行使其行政处罚权；行使的，作出的行政处罚无效。</w:t>
      </w:r>
    </w:p>
    <w:p w:rsidR="0005530C" w:rsidRDefault="00F3678E" w:rsidP="00F5339A">
      <w:pPr>
        <w:spacing w:beforeLines="100" w:afterLines="100" w:line="60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职责与权限</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第九条</w:t>
      </w:r>
      <w:r>
        <w:rPr>
          <w:rFonts w:cs="仿宋_GB2312" w:hint="eastAsia"/>
          <w:sz w:val="32"/>
          <w:szCs w:val="32"/>
        </w:rPr>
        <w:t xml:space="preserve"> </w:t>
      </w:r>
      <w:r>
        <w:rPr>
          <w:rFonts w:cs="仿宋_GB2312" w:hint="eastAsia"/>
          <w:sz w:val="32"/>
          <w:szCs w:val="32"/>
        </w:rPr>
        <w:t>本市城市管理行政执法机关行使下列职权：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（一）城市规划管理方面法律、法规、规章规定的行政处罚权；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lastRenderedPageBreak/>
        <w:t>（二）市容和环境卫生管理方面法律、法规、规章规定的行政处罚权；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（三）市政管理方面法律、法规、规章规定的行政处罚权；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（四）房产管理方面法律、法规、规章规定的行政处罚权；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（五）园林绿化管理方面法律、法规、规章规定的行政处罚权；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（六）工商行政管理方面法律、法规、规章规定的对无照商贩的行政处罚权；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（七）环境保护管理方面法律、法规、规章规定的行政处罚权，但跨市区、流动性、危险性的行政处罚权除外；</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（八）公安交</w:t>
      </w:r>
      <w:r>
        <w:rPr>
          <w:rFonts w:cs="仿宋_GB2312" w:hint="eastAsia"/>
          <w:kern w:val="2"/>
          <w:sz w:val="32"/>
          <w:szCs w:val="32"/>
        </w:rPr>
        <w:t>通管理方面法律、法规、规章规定的行政处罚权，但跨市区、流动性的行政处罚权除外；</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（九）建筑市场和房地产市场管理方面的法律、法规、规章规定的行政处罚权；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（十）民政殡葬管理方面法律、法规、规章规定的行政处罚权；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（十一）公用事业管理方面法律、法规、规章规定的行政处罚权；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（十二）人防工程建设管理方面法律、法规、规章规定的行政处罚权；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lastRenderedPageBreak/>
        <w:t>（十三）煤炭市场管理方面法律、法规、规章规定的行政处罚权；</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（十四）其他法律、法规、规章规定或者同级人民政府委托的职权。</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第十条</w:t>
      </w:r>
      <w:r>
        <w:rPr>
          <w:rFonts w:cs="仿宋_GB2312" w:hint="eastAsia"/>
          <w:sz w:val="32"/>
          <w:szCs w:val="32"/>
        </w:rPr>
        <w:t xml:space="preserve"> </w:t>
      </w:r>
      <w:r>
        <w:rPr>
          <w:rFonts w:cs="仿宋_GB2312" w:hint="eastAsia"/>
          <w:sz w:val="32"/>
          <w:szCs w:val="32"/>
        </w:rPr>
        <w:t>城市管理行政执法机关与各相关管理部门建立工作联系</w:t>
      </w:r>
      <w:r>
        <w:rPr>
          <w:rFonts w:cs="仿宋_GB2312" w:hint="eastAsia"/>
          <w:sz w:val="32"/>
          <w:szCs w:val="32"/>
        </w:rPr>
        <w:t>制度，共同处理执法过程中出现的问题，及时纠正和制止违法行为。</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各级政府有关部门应当按职责分工做好城市管理行政执法的配合工作。</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各相关管理部门发现城市管理中的违法行为，应当通知城市管理行政执法机关，城市管理行政执法机关应当受理，并反馈处理结果。</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第十一条</w:t>
      </w:r>
      <w:r>
        <w:rPr>
          <w:rFonts w:cs="仿宋_GB2312" w:hint="eastAsia"/>
          <w:sz w:val="32"/>
          <w:szCs w:val="32"/>
        </w:rPr>
        <w:t xml:space="preserve"> </w:t>
      </w:r>
      <w:r>
        <w:rPr>
          <w:rFonts w:cs="仿宋_GB2312" w:hint="eastAsia"/>
          <w:sz w:val="32"/>
          <w:szCs w:val="32"/>
        </w:rPr>
        <w:t>对案件调查过程中涉及到的专门性和专业性问题，城市管理行政执法机关应当委托相关部门、机构鉴定或者认定，各相关部门、机构应当及时出具鉴定或者认定结论。</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cs="仿宋_GB2312" w:hint="eastAsia"/>
          <w:sz w:val="32"/>
          <w:szCs w:val="32"/>
        </w:rPr>
        <w:t>城市管理行政执法人员执行公务时，可以行使下列权利：</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（一）进行调查或者检查；</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（二）查阅、调阅或者复制有关材料；</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（三）采用录音、录（摄）像等手段，取得有关证据；</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lastRenderedPageBreak/>
        <w:t>（四）依法对违法行为所涉及的工具、物品等予以扣押、查封；</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（五）法律、法规和规章规定的其他权利。</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第十三条</w:t>
      </w:r>
      <w:r>
        <w:rPr>
          <w:rFonts w:cs="仿宋_GB2312" w:hint="eastAsia"/>
          <w:sz w:val="32"/>
          <w:szCs w:val="32"/>
        </w:rPr>
        <w:t xml:space="preserve"> </w:t>
      </w:r>
      <w:r>
        <w:rPr>
          <w:rFonts w:cs="仿宋_GB2312" w:hint="eastAsia"/>
          <w:sz w:val="32"/>
          <w:szCs w:val="32"/>
        </w:rPr>
        <w:t>当事人或者有关人员应当如实回答询问，并协助调查或者检查。</w:t>
      </w:r>
    </w:p>
    <w:p w:rsidR="0005530C" w:rsidRDefault="00F3678E">
      <w:pPr>
        <w:pStyle w:val="a8"/>
        <w:widowControl/>
        <w:spacing w:beforeAutospacing="0" w:afterAutospacing="0" w:line="600" w:lineRule="exact"/>
        <w:ind w:firstLine="640"/>
        <w:rPr>
          <w:rFonts w:cs="仿宋_GB2312"/>
          <w:kern w:val="2"/>
          <w:sz w:val="32"/>
          <w:szCs w:val="32"/>
        </w:rPr>
      </w:pPr>
      <w:r>
        <w:rPr>
          <w:rFonts w:cs="仿宋_GB2312" w:hint="eastAsia"/>
          <w:kern w:val="2"/>
          <w:sz w:val="32"/>
          <w:szCs w:val="32"/>
        </w:rPr>
        <w:t>对拒绝、阻碍城市管理行政执法人员依法执行公务的，由公安机关依据《中华人民共和国治安管理处罚条例》予以处罚；构成犯罪的，由司法机关依法追究刑事责任。</w:t>
      </w:r>
    </w:p>
    <w:p w:rsidR="0005530C" w:rsidRDefault="00F3678E" w:rsidP="00F5339A">
      <w:pPr>
        <w:spacing w:beforeLines="100" w:afterLines="100" w:line="60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执法规范</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cs="仿宋_GB2312" w:hint="eastAsia"/>
          <w:sz w:val="32"/>
          <w:szCs w:val="32"/>
        </w:rPr>
        <w:t>城市管理行政执法人员在进行调查或者检查时，不得少于两人，并应当向当事人或者有关人员出示行政执法证件。</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cs="仿宋_GB2312" w:hint="eastAsia"/>
          <w:sz w:val="32"/>
          <w:szCs w:val="32"/>
        </w:rPr>
        <w:t>当事人有权进行陈述和申辩。对当事人提出的事实、理由和证据，应当进行复核；当事人提出的事实、理由或者证据成立的，应当采纳，不得因当事人申辩而加重处罚。</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第十六条</w:t>
      </w:r>
      <w:r>
        <w:rPr>
          <w:rFonts w:cs="仿宋_GB2312" w:hint="eastAsia"/>
          <w:sz w:val="32"/>
          <w:szCs w:val="32"/>
        </w:rPr>
        <w:t xml:space="preserve"> </w:t>
      </w:r>
      <w:r>
        <w:rPr>
          <w:rFonts w:cs="仿宋_GB2312" w:hint="eastAsia"/>
          <w:sz w:val="32"/>
          <w:szCs w:val="32"/>
        </w:rPr>
        <w:t>城市管理行政执法机关作出责令停产停业，吊销许可证或者执照，对个人处</w:t>
      </w:r>
      <w:r>
        <w:rPr>
          <w:rFonts w:cs="仿宋_GB2312" w:hint="eastAsia"/>
          <w:sz w:val="32"/>
          <w:szCs w:val="32"/>
        </w:rPr>
        <w:t>1000</w:t>
      </w:r>
      <w:r>
        <w:rPr>
          <w:rFonts w:cs="仿宋_GB2312" w:hint="eastAsia"/>
          <w:sz w:val="32"/>
          <w:szCs w:val="32"/>
        </w:rPr>
        <w:t>元以上、对个体工商户处</w:t>
      </w:r>
      <w:r>
        <w:rPr>
          <w:rFonts w:cs="仿宋_GB2312" w:hint="eastAsia"/>
          <w:sz w:val="32"/>
          <w:szCs w:val="32"/>
        </w:rPr>
        <w:t>2000</w:t>
      </w:r>
      <w:r>
        <w:rPr>
          <w:rFonts w:cs="仿宋_GB2312" w:hint="eastAsia"/>
          <w:sz w:val="32"/>
          <w:szCs w:val="32"/>
        </w:rPr>
        <w:t>元以上、对法人或其他组织处</w:t>
      </w:r>
      <w:r>
        <w:rPr>
          <w:rFonts w:cs="仿宋_GB2312" w:hint="eastAsia"/>
          <w:sz w:val="32"/>
          <w:szCs w:val="32"/>
        </w:rPr>
        <w:t>10000</w:t>
      </w:r>
      <w:r>
        <w:rPr>
          <w:rFonts w:cs="仿宋_GB2312" w:hint="eastAsia"/>
          <w:sz w:val="32"/>
          <w:szCs w:val="32"/>
        </w:rPr>
        <w:t>元以上罚款等行政处罚决定</w:t>
      </w:r>
      <w:r>
        <w:rPr>
          <w:rFonts w:cs="仿宋_GB2312" w:hint="eastAsia"/>
          <w:sz w:val="32"/>
          <w:szCs w:val="32"/>
        </w:rPr>
        <w:lastRenderedPageBreak/>
        <w:t>之前，应当告知当事人有要求举行听证的权利；当事人要求听证的，应当组织听证。</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第十七条</w:t>
      </w:r>
      <w:r>
        <w:rPr>
          <w:rFonts w:cs="仿宋_GB2312" w:hint="eastAsia"/>
          <w:sz w:val="32"/>
          <w:szCs w:val="32"/>
        </w:rPr>
        <w:t xml:space="preserve"> </w:t>
      </w:r>
      <w:r>
        <w:rPr>
          <w:rFonts w:cs="仿宋_GB2312" w:hint="eastAsia"/>
          <w:sz w:val="32"/>
          <w:szCs w:val="32"/>
        </w:rPr>
        <w:t>当事人履行行政处罚决定后，所扣押的工具、物品应予返还。自处罚决定送达或公告之日起三个月内不接受处理的，由执法机关依法对扣押物品进行拍卖；对易腐烂变质和其他无法保管的扣押物品依法进行变卖。扣押的违法违禁物品移交相关部门处理。</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第十八条</w:t>
      </w:r>
      <w:r>
        <w:rPr>
          <w:rFonts w:cs="仿宋_GB2312" w:hint="eastAsia"/>
          <w:sz w:val="32"/>
          <w:szCs w:val="32"/>
        </w:rPr>
        <w:t xml:space="preserve"> </w:t>
      </w:r>
      <w:r>
        <w:rPr>
          <w:rFonts w:cs="仿宋_GB2312" w:hint="eastAsia"/>
          <w:sz w:val="32"/>
          <w:szCs w:val="32"/>
        </w:rPr>
        <w:t>当事人对处罚决定不服的，可依法申请行政复议或直接向人民法院提起诉讼。逾期不申请复议，也不起诉，又不履行处罚决定的，由作出处罚的行政执法机关依法强制执行或者申请人民法院强制执行。</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第十九条</w:t>
      </w:r>
      <w:r>
        <w:rPr>
          <w:rFonts w:cs="仿宋_GB2312" w:hint="eastAsia"/>
          <w:sz w:val="32"/>
          <w:szCs w:val="32"/>
        </w:rPr>
        <w:t xml:space="preserve"> </w:t>
      </w:r>
      <w:r>
        <w:rPr>
          <w:rFonts w:cs="仿宋_GB2312" w:hint="eastAsia"/>
          <w:sz w:val="32"/>
          <w:szCs w:val="32"/>
        </w:rPr>
        <w:t>城市管理行政执法机关实施行政处罚时，应使用省财政部门统一制发的罚款收据，罚款、没</w:t>
      </w:r>
      <w:r>
        <w:rPr>
          <w:rFonts w:cs="仿宋_GB2312" w:hint="eastAsia"/>
          <w:sz w:val="32"/>
          <w:szCs w:val="32"/>
        </w:rPr>
        <w:t>收违法所得及没收违法财物拍（变）卖所得款项，不得以任何形式擅自处理，应当全额上缴国库。</w:t>
      </w:r>
    </w:p>
    <w:p w:rsidR="0005530C" w:rsidRDefault="00F3678E" w:rsidP="00F5339A">
      <w:pPr>
        <w:spacing w:beforeLines="100" w:afterLines="100" w:line="60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执法监督</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第二十条</w:t>
      </w:r>
      <w:r>
        <w:rPr>
          <w:rFonts w:cs="仿宋_GB2312" w:hint="eastAsia"/>
          <w:sz w:val="32"/>
          <w:szCs w:val="32"/>
        </w:rPr>
        <w:t xml:space="preserve"> </w:t>
      </w:r>
      <w:r>
        <w:rPr>
          <w:rFonts w:cs="仿宋_GB2312" w:hint="eastAsia"/>
          <w:sz w:val="32"/>
          <w:szCs w:val="32"/>
        </w:rPr>
        <w:t>公民、法人和其他组织对城市管理行政执法人员在执法中的违法行为，有权向行政执法监督机关举报，行政执法监督机关应当按规定处理。</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lastRenderedPageBreak/>
        <w:t>第二十一条</w:t>
      </w:r>
      <w:r>
        <w:rPr>
          <w:rFonts w:ascii="黑体" w:eastAsia="黑体" w:hAnsi="黑体" w:cs="黑体" w:hint="eastAsia"/>
          <w:sz w:val="32"/>
          <w:szCs w:val="32"/>
        </w:rPr>
        <w:t xml:space="preserve"> </w:t>
      </w:r>
      <w:r>
        <w:rPr>
          <w:rFonts w:cs="仿宋_GB2312" w:hint="eastAsia"/>
          <w:sz w:val="32"/>
          <w:szCs w:val="32"/>
        </w:rPr>
        <w:t>城市管理行政执法人员行使职权侵犯公民、法人和其他组织的合法权益造成损害构成赔偿的，对受害人应当予以行政赔偿，同时有关部门应当依法追究执法人员的责任。</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第二十二条</w:t>
      </w:r>
      <w:r>
        <w:rPr>
          <w:rFonts w:cs="仿宋_GB2312" w:hint="eastAsia"/>
          <w:sz w:val="32"/>
          <w:szCs w:val="32"/>
        </w:rPr>
        <w:t xml:space="preserve"> </w:t>
      </w:r>
      <w:r>
        <w:rPr>
          <w:rFonts w:cs="仿宋_GB2312" w:hint="eastAsia"/>
          <w:sz w:val="32"/>
          <w:szCs w:val="32"/>
        </w:rPr>
        <w:t>城市管理行政执法人员应当依法行政，忠于职守，文明执法，秉公执法，自觉接受监督，不得以权谋私、滥用</w:t>
      </w:r>
      <w:r>
        <w:rPr>
          <w:rFonts w:cs="仿宋_GB2312" w:hint="eastAsia"/>
          <w:sz w:val="32"/>
          <w:szCs w:val="32"/>
        </w:rPr>
        <w:t>职权。城市管理行政执法人员在执法活动中徇私舞弊、玩忽职守、滥用职权的，由其所在单位或上级机关予以行政处分；构成犯罪的，依法追究其刑事责任。</w:t>
      </w:r>
    </w:p>
    <w:p w:rsidR="0005530C" w:rsidRDefault="00F3678E" w:rsidP="00F5339A">
      <w:pPr>
        <w:spacing w:beforeLines="100" w:afterLines="100" w:line="600" w:lineRule="exact"/>
        <w:ind w:firstLineChars="0" w:firstLine="0"/>
        <w:jc w:val="center"/>
        <w:rPr>
          <w:rFonts w:ascii="黑体" w:eastAsia="黑体" w:hAnsi="黑体" w:cs="黑体"/>
          <w:sz w:val="32"/>
          <w:szCs w:val="32"/>
        </w:rPr>
      </w:pPr>
      <w:bookmarkStart w:id="0" w:name="_GoBack"/>
      <w:bookmarkEnd w:id="0"/>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05530C" w:rsidRDefault="00F3678E">
      <w:pPr>
        <w:widowControl/>
        <w:spacing w:line="600" w:lineRule="exact"/>
        <w:ind w:firstLine="640"/>
        <w:jc w:val="left"/>
        <w:rPr>
          <w:rFonts w:cs="仿宋_GB2312"/>
          <w:sz w:val="32"/>
          <w:szCs w:val="32"/>
        </w:rPr>
      </w:pPr>
      <w:r>
        <w:rPr>
          <w:rFonts w:ascii="黑体" w:eastAsia="黑体" w:hAnsi="黑体" w:cs="黑体" w:hint="eastAsia"/>
          <w:sz w:val="32"/>
          <w:szCs w:val="32"/>
        </w:rPr>
        <w:t>第二十三条</w:t>
      </w:r>
      <w:r>
        <w:rPr>
          <w:rFonts w:cs="仿宋_GB2312" w:hint="eastAsia"/>
          <w:sz w:val="32"/>
          <w:szCs w:val="32"/>
        </w:rPr>
        <w:t xml:space="preserve"> </w:t>
      </w:r>
      <w:r>
        <w:rPr>
          <w:rFonts w:cs="仿宋_GB2312" w:hint="eastAsia"/>
          <w:sz w:val="32"/>
          <w:szCs w:val="32"/>
        </w:rPr>
        <w:t>本规定自</w:t>
      </w:r>
      <w:r>
        <w:rPr>
          <w:rFonts w:cs="仿宋_GB2312" w:hint="eastAsia"/>
          <w:sz w:val="32"/>
          <w:szCs w:val="32"/>
        </w:rPr>
        <w:t>2005</w:t>
      </w:r>
      <w:r>
        <w:rPr>
          <w:rFonts w:cs="仿宋_GB2312" w:hint="eastAsia"/>
          <w:sz w:val="32"/>
          <w:szCs w:val="32"/>
        </w:rPr>
        <w:t>年</w:t>
      </w:r>
      <w:r>
        <w:rPr>
          <w:rFonts w:cs="仿宋_GB2312" w:hint="eastAsia"/>
          <w:sz w:val="32"/>
          <w:szCs w:val="32"/>
        </w:rPr>
        <w:t>6</w:t>
      </w:r>
      <w:r>
        <w:rPr>
          <w:rFonts w:cs="仿宋_GB2312" w:hint="eastAsia"/>
          <w:sz w:val="32"/>
          <w:szCs w:val="32"/>
        </w:rPr>
        <w:t>月</w:t>
      </w:r>
      <w:r>
        <w:rPr>
          <w:rFonts w:cs="仿宋_GB2312" w:hint="eastAsia"/>
          <w:sz w:val="32"/>
          <w:szCs w:val="32"/>
        </w:rPr>
        <w:t>1</w:t>
      </w:r>
      <w:r>
        <w:rPr>
          <w:rFonts w:cs="仿宋_GB2312" w:hint="eastAsia"/>
          <w:sz w:val="32"/>
          <w:szCs w:val="32"/>
        </w:rPr>
        <w:t>日起施行。《沈阳市城市管理综合执法暂行规定》（沈政令</w:t>
      </w:r>
      <w:r>
        <w:rPr>
          <w:rFonts w:cs="仿宋_GB2312" w:hint="eastAsia"/>
          <w:sz w:val="32"/>
          <w:szCs w:val="32"/>
        </w:rPr>
        <w:t>[2000]</w:t>
      </w:r>
      <w:r>
        <w:rPr>
          <w:rFonts w:cs="仿宋_GB2312" w:hint="eastAsia"/>
          <w:sz w:val="32"/>
          <w:szCs w:val="32"/>
        </w:rPr>
        <w:t>第</w:t>
      </w:r>
      <w:r>
        <w:rPr>
          <w:rFonts w:cs="仿宋_GB2312" w:hint="eastAsia"/>
          <w:sz w:val="32"/>
          <w:szCs w:val="32"/>
        </w:rPr>
        <w:t>48</w:t>
      </w:r>
      <w:r>
        <w:rPr>
          <w:rFonts w:cs="仿宋_GB2312" w:hint="eastAsia"/>
          <w:sz w:val="32"/>
          <w:szCs w:val="32"/>
        </w:rPr>
        <w:t>号）同时废止。</w:t>
      </w:r>
    </w:p>
    <w:p w:rsidR="0005530C" w:rsidRDefault="0005530C">
      <w:pPr>
        <w:spacing w:line="600" w:lineRule="exact"/>
        <w:ind w:firstLine="640"/>
        <w:rPr>
          <w:rFonts w:cs="仿宋_GB2312"/>
          <w:sz w:val="32"/>
          <w:szCs w:val="32"/>
        </w:rPr>
      </w:pPr>
    </w:p>
    <w:p w:rsidR="0005530C" w:rsidRDefault="0005530C">
      <w:pPr>
        <w:spacing w:line="600" w:lineRule="exact"/>
        <w:ind w:firstLineChars="0" w:firstLine="0"/>
        <w:jc w:val="left"/>
        <w:rPr>
          <w:sz w:val="32"/>
          <w:szCs w:val="32"/>
        </w:rPr>
      </w:pPr>
    </w:p>
    <w:sectPr w:rsidR="0005530C" w:rsidSect="0005530C">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78E" w:rsidRDefault="00F3678E">
      <w:pPr>
        <w:spacing w:line="240" w:lineRule="auto"/>
        <w:ind w:firstLine="480"/>
      </w:pPr>
      <w:r>
        <w:separator/>
      </w:r>
    </w:p>
  </w:endnote>
  <w:endnote w:type="continuationSeparator" w:id="0">
    <w:p w:rsidR="00F3678E" w:rsidRDefault="00F3678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PingFang-SC-Medium">
    <w:altName w:val="黑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0C" w:rsidRDefault="0005530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0C" w:rsidRDefault="0005530C">
    <w:pPr>
      <w:pStyle w:val="a7"/>
      <w:ind w:leftChars="2280" w:left="5472" w:firstLineChars="2000" w:firstLine="6400"/>
      <w:rPr>
        <w:rFonts w:eastAsia="仿宋"/>
        <w:sz w:val="32"/>
        <w:szCs w:val="48"/>
      </w:rPr>
    </w:pPr>
    <w:r w:rsidRPr="0005530C">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05530C" w:rsidRDefault="0005530C">
                <w:pPr>
                  <w:pStyle w:val="a6"/>
                  <w:ind w:firstLine="560"/>
                </w:pPr>
                <w:r>
                  <w:rPr>
                    <w:rFonts w:ascii="宋体" w:eastAsia="宋体" w:hAnsi="宋体" w:cs="宋体" w:hint="eastAsia"/>
                    <w:sz w:val="28"/>
                    <w:szCs w:val="28"/>
                  </w:rPr>
                  <w:fldChar w:fldCharType="begin"/>
                </w:r>
                <w:r w:rsidR="00F3678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5339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F3678E">
      <w:rPr>
        <w:rFonts w:eastAsia="仿宋" w:hint="eastAsia"/>
        <w:sz w:val="32"/>
        <w:szCs w:val="48"/>
      </w:rPr>
      <w:t xml:space="preserve">  </w:t>
    </w:r>
  </w:p>
  <w:p w:rsidR="0005530C" w:rsidRDefault="0005530C">
    <w:pPr>
      <w:pStyle w:val="a7"/>
      <w:wordWrap w:val="0"/>
      <w:ind w:leftChars="2280" w:left="5472" w:firstLineChars="2000" w:firstLine="6400"/>
      <w:jc w:val="right"/>
      <w:rPr>
        <w:rFonts w:ascii="宋体" w:eastAsia="宋体" w:hAnsi="宋体" w:cs="宋体"/>
        <w:b/>
        <w:bCs/>
        <w:color w:val="005192"/>
        <w:sz w:val="28"/>
        <w:szCs w:val="44"/>
      </w:rPr>
    </w:pPr>
    <w:r w:rsidRPr="0005530C">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F3678E">
      <w:rPr>
        <w:rFonts w:eastAsia="仿宋" w:hint="eastAsia"/>
        <w:color w:val="FAFAFA"/>
        <w:sz w:val="32"/>
        <w:szCs w:val="48"/>
      </w:rPr>
      <w:t>X</w:t>
    </w:r>
    <w:r w:rsidR="00F3678E">
      <w:rPr>
        <w:rFonts w:eastAsia="仿宋" w:hint="eastAsia"/>
        <w:color w:val="FAFAFA"/>
        <w:sz w:val="32"/>
        <w:szCs w:val="48"/>
      </w:rPr>
      <w:t>辽宁</w:t>
    </w:r>
    <w:r w:rsidR="00F3678E">
      <w:rPr>
        <w:rFonts w:ascii="宋体" w:eastAsia="宋体" w:hAnsi="宋体" w:cs="宋体" w:hint="eastAsia"/>
        <w:b/>
        <w:bCs/>
        <w:color w:val="005192"/>
        <w:sz w:val="28"/>
        <w:szCs w:val="44"/>
      </w:rPr>
      <w:t>沈阳市人民政府发布</w:t>
    </w:r>
  </w:p>
  <w:p w:rsidR="0005530C" w:rsidRDefault="0005530C" w:rsidP="00F5339A">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0C" w:rsidRDefault="0005530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78E" w:rsidRDefault="00F3678E">
      <w:pPr>
        <w:spacing w:line="240" w:lineRule="auto"/>
        <w:ind w:firstLine="480"/>
      </w:pPr>
      <w:r>
        <w:separator/>
      </w:r>
    </w:p>
  </w:footnote>
  <w:footnote w:type="continuationSeparator" w:id="0">
    <w:p w:rsidR="00F3678E" w:rsidRDefault="00F3678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0C" w:rsidRDefault="0005530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0C" w:rsidRDefault="0005530C">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05530C" w:rsidRDefault="00F3678E">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0C" w:rsidRDefault="0005530C">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5530C"/>
    <w:rsid w:val="00172A27"/>
    <w:rsid w:val="006B0EDA"/>
    <w:rsid w:val="006D58CA"/>
    <w:rsid w:val="00993565"/>
    <w:rsid w:val="00DC69F9"/>
    <w:rsid w:val="00F3678E"/>
    <w:rsid w:val="00F5339A"/>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BF3E2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5530C"/>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05530C"/>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05530C"/>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05530C"/>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05530C"/>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05530C"/>
    <w:pPr>
      <w:ind w:firstLine="632"/>
    </w:pPr>
  </w:style>
  <w:style w:type="paragraph" w:styleId="a4">
    <w:name w:val="annotation text"/>
    <w:basedOn w:val="a"/>
    <w:qFormat/>
    <w:rsid w:val="0005530C"/>
    <w:pPr>
      <w:jc w:val="left"/>
    </w:pPr>
  </w:style>
  <w:style w:type="paragraph" w:styleId="a5">
    <w:name w:val="Balloon Text"/>
    <w:basedOn w:val="a"/>
    <w:link w:val="Char"/>
    <w:qFormat/>
    <w:rsid w:val="0005530C"/>
    <w:pPr>
      <w:spacing w:line="240" w:lineRule="auto"/>
    </w:pPr>
    <w:rPr>
      <w:sz w:val="18"/>
      <w:szCs w:val="18"/>
    </w:rPr>
  </w:style>
  <w:style w:type="paragraph" w:styleId="a6">
    <w:name w:val="footer"/>
    <w:basedOn w:val="a"/>
    <w:qFormat/>
    <w:rsid w:val="0005530C"/>
    <w:pPr>
      <w:tabs>
        <w:tab w:val="center" w:pos="4153"/>
        <w:tab w:val="right" w:pos="8306"/>
      </w:tabs>
      <w:snapToGrid w:val="0"/>
      <w:jc w:val="left"/>
    </w:pPr>
    <w:rPr>
      <w:sz w:val="18"/>
    </w:rPr>
  </w:style>
  <w:style w:type="paragraph" w:styleId="a7">
    <w:name w:val="header"/>
    <w:basedOn w:val="a"/>
    <w:qFormat/>
    <w:rsid w:val="0005530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05530C"/>
    <w:pPr>
      <w:spacing w:beforeAutospacing="1" w:afterAutospacing="1"/>
      <w:jc w:val="left"/>
    </w:pPr>
    <w:rPr>
      <w:kern w:val="0"/>
    </w:rPr>
  </w:style>
  <w:style w:type="character" w:styleId="a9">
    <w:name w:val="Strong"/>
    <w:qFormat/>
    <w:rsid w:val="0005530C"/>
    <w:rPr>
      <w:b/>
    </w:rPr>
  </w:style>
  <w:style w:type="character" w:styleId="aa">
    <w:name w:val="Hyperlink"/>
    <w:qFormat/>
    <w:rsid w:val="0005530C"/>
    <w:rPr>
      <w:color w:val="0000FF"/>
      <w:u w:val="single"/>
    </w:rPr>
  </w:style>
  <w:style w:type="character" w:customStyle="1" w:styleId="3Char">
    <w:name w:val="标题 3 Char"/>
    <w:link w:val="3"/>
    <w:qFormat/>
    <w:rsid w:val="0005530C"/>
    <w:rPr>
      <w:rFonts w:ascii="宋体" w:eastAsia="黑体" w:hAnsi="宋体" w:cs="宋体" w:hint="eastAsia"/>
      <w:kern w:val="0"/>
      <w:sz w:val="24"/>
      <w:szCs w:val="27"/>
    </w:rPr>
  </w:style>
  <w:style w:type="character" w:customStyle="1" w:styleId="Char">
    <w:name w:val="批注框文本 Char"/>
    <w:basedOn w:val="a1"/>
    <w:link w:val="a5"/>
    <w:qFormat/>
    <w:rsid w:val="0005530C"/>
    <w:rPr>
      <w:rFonts w:ascii="仿宋_GB2312" w:eastAsia="仿宋_GB2312" w:hAnsi="仿宋_GB2312"/>
      <w:kern w:val="2"/>
      <w:sz w:val="18"/>
      <w:szCs w:val="18"/>
    </w:rPr>
  </w:style>
  <w:style w:type="paragraph" w:customStyle="1" w:styleId="titles">
    <w:name w:val="titles"/>
    <w:basedOn w:val="a"/>
    <w:qFormat/>
    <w:rsid w:val="0005530C"/>
    <w:pPr>
      <w:spacing w:line="585" w:lineRule="atLeast"/>
      <w:jc w:val="center"/>
    </w:pPr>
    <w:rPr>
      <w:rFonts w:ascii="方正黑体简体 PingFang-SC-Medium" w:eastAsia="方正黑体简体 PingFang-SC-Medium" w:hAnsi="方正黑体简体 PingFang-SC-Medium"/>
      <w:b/>
      <w:bCs/>
      <w:color w:val="333333"/>
      <w:spacing w:val="15"/>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