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E2" w:rsidRDefault="008D03E2">
      <w:pPr>
        <w:spacing w:line="576" w:lineRule="exact"/>
        <w:ind w:firstLineChars="0" w:firstLine="0"/>
        <w:rPr>
          <w:rFonts w:ascii="方正小标宋简体" w:eastAsia="方正小标宋简体" w:hAnsi="宋体"/>
          <w:sz w:val="44"/>
          <w:szCs w:val="44"/>
        </w:rPr>
      </w:pPr>
    </w:p>
    <w:p w:rsidR="008D03E2" w:rsidRDefault="008D03E2">
      <w:pPr>
        <w:spacing w:line="576" w:lineRule="exact"/>
        <w:ind w:firstLineChars="0" w:firstLine="0"/>
        <w:jc w:val="center"/>
        <w:rPr>
          <w:rFonts w:ascii="方正小标宋简体" w:eastAsia="方正小标宋简体" w:hAnsi="宋体"/>
          <w:sz w:val="44"/>
          <w:szCs w:val="44"/>
        </w:rPr>
      </w:pPr>
    </w:p>
    <w:p w:rsidR="008D03E2" w:rsidRDefault="005D57EF">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沈阳市居住建筑间距和住宅日照管理规定</w:t>
      </w:r>
    </w:p>
    <w:p w:rsidR="008D03E2" w:rsidRDefault="008D03E2">
      <w:pPr>
        <w:spacing w:line="566" w:lineRule="exact"/>
        <w:ind w:firstLine="640"/>
        <w:jc w:val="left"/>
        <w:rPr>
          <w:sz w:val="32"/>
          <w:szCs w:val="32"/>
        </w:rPr>
      </w:pPr>
    </w:p>
    <w:p w:rsidR="008D03E2" w:rsidRDefault="005D57EF">
      <w:pPr>
        <w:spacing w:line="56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6</w:t>
      </w:r>
      <w:r>
        <w:rPr>
          <w:rFonts w:ascii="楷体_GB2312" w:eastAsia="楷体_GB2312" w:hint="eastAsia"/>
          <w:sz w:val="32"/>
          <w:szCs w:val="32"/>
        </w:rPr>
        <w:t>日沈阳市人民政府令第</w:t>
      </w:r>
      <w:r>
        <w:rPr>
          <w:rFonts w:ascii="楷体_GB2312" w:eastAsia="楷体_GB2312" w:hint="eastAsia"/>
          <w:sz w:val="32"/>
          <w:szCs w:val="32"/>
        </w:rPr>
        <w:t>64</w:t>
      </w:r>
      <w:r>
        <w:rPr>
          <w:rFonts w:ascii="楷体_GB2312" w:eastAsia="楷体_GB2312" w:hint="eastAsia"/>
          <w:sz w:val="32"/>
          <w:szCs w:val="32"/>
        </w:rPr>
        <w:t>号公布</w:t>
      </w:r>
      <w:r w:rsidR="009B097F" w:rsidRPr="009B097F">
        <w:rPr>
          <w:rFonts w:ascii="楷体_GB2312" w:eastAsia="楷体_GB2312" w:hint="eastAsia"/>
          <w:sz w:val="32"/>
          <w:szCs w:val="32"/>
        </w:rPr>
        <w:t xml:space="preserve">　自</w:t>
      </w:r>
      <w:r w:rsidR="009B097F" w:rsidRPr="009B097F">
        <w:rPr>
          <w:rFonts w:ascii="楷体_GB2312" w:eastAsia="楷体_GB2312"/>
          <w:sz w:val="32"/>
          <w:szCs w:val="32"/>
        </w:rPr>
        <w:t>2007年1月1日起施行</w:t>
      </w:r>
      <w:r>
        <w:rPr>
          <w:rFonts w:ascii="楷体_GB2312" w:eastAsia="楷体_GB2312" w:hint="eastAsia"/>
          <w:sz w:val="32"/>
          <w:szCs w:val="32"/>
        </w:rPr>
        <w:t>）</w:t>
      </w:r>
    </w:p>
    <w:p w:rsidR="008D03E2" w:rsidRDefault="008D03E2" w:rsidP="009B097F">
      <w:pPr>
        <w:spacing w:line="568" w:lineRule="exact"/>
        <w:ind w:firstLine="640"/>
        <w:jc w:val="left"/>
        <w:rPr>
          <w:sz w:val="32"/>
          <w:szCs w:val="32"/>
        </w:rPr>
      </w:pPr>
    </w:p>
    <w:p w:rsidR="008D03E2" w:rsidRDefault="005D57EF" w:rsidP="009B097F">
      <w:pPr>
        <w:spacing w:beforeLines="100" w:afterLines="100" w:line="568" w:lineRule="exact"/>
        <w:ind w:firstLineChars="0" w:firstLine="0"/>
        <w:jc w:val="center"/>
        <w:rPr>
          <w:rFonts w:ascii="黑体" w:eastAsia="黑体"/>
          <w:sz w:val="32"/>
          <w:szCs w:val="32"/>
        </w:rPr>
      </w:pPr>
      <w:r>
        <w:rPr>
          <w:rFonts w:ascii="黑体" w:eastAsia="黑体" w:hint="eastAsia"/>
          <w:sz w:val="32"/>
          <w:szCs w:val="32"/>
        </w:rPr>
        <w:t>第一章　总　　则</w:t>
      </w:r>
    </w:p>
    <w:p w:rsidR="008D03E2" w:rsidRDefault="005D57EF">
      <w:pPr>
        <w:spacing w:line="568" w:lineRule="exact"/>
        <w:ind w:firstLine="640"/>
        <w:rPr>
          <w:sz w:val="32"/>
          <w:szCs w:val="32"/>
        </w:rPr>
      </w:pPr>
      <w:r>
        <w:rPr>
          <w:rFonts w:ascii="黑体" w:eastAsia="黑体" w:hint="eastAsia"/>
          <w:sz w:val="32"/>
          <w:szCs w:val="32"/>
        </w:rPr>
        <w:t xml:space="preserve">第一条　</w:t>
      </w:r>
      <w:r>
        <w:rPr>
          <w:rFonts w:hint="eastAsia"/>
          <w:sz w:val="32"/>
          <w:szCs w:val="32"/>
        </w:rPr>
        <w:t>为经济、合理、有效地使用城市土地和空间，保障居民基本生活条件和环境，根据《中华人民共和国城市规划法》及有关法律、法规，结合本市实际，制定本规定。</w:t>
      </w:r>
    </w:p>
    <w:p w:rsidR="008D03E2" w:rsidRDefault="005D57EF">
      <w:pPr>
        <w:spacing w:line="568" w:lineRule="exact"/>
        <w:ind w:firstLine="640"/>
        <w:rPr>
          <w:sz w:val="32"/>
          <w:szCs w:val="32"/>
        </w:rPr>
      </w:pPr>
      <w:r>
        <w:rPr>
          <w:rFonts w:ascii="黑体" w:eastAsia="黑体" w:hint="eastAsia"/>
          <w:sz w:val="32"/>
          <w:szCs w:val="32"/>
        </w:rPr>
        <w:t xml:space="preserve">第二条　</w:t>
      </w:r>
      <w:r>
        <w:rPr>
          <w:rFonts w:hint="eastAsia"/>
          <w:sz w:val="32"/>
          <w:szCs w:val="32"/>
        </w:rPr>
        <w:t>凡在本市城市规划区内从事规划、建筑设计和各项建设活动的单位或个人，必须遵守本规定。</w:t>
      </w:r>
    </w:p>
    <w:p w:rsidR="008D03E2" w:rsidRDefault="005D57EF">
      <w:pPr>
        <w:spacing w:line="568" w:lineRule="exact"/>
        <w:ind w:firstLine="640"/>
        <w:rPr>
          <w:sz w:val="32"/>
          <w:szCs w:val="32"/>
        </w:rPr>
      </w:pPr>
      <w:r>
        <w:rPr>
          <w:rFonts w:ascii="黑体" w:eastAsia="黑体" w:hint="eastAsia"/>
          <w:sz w:val="32"/>
          <w:szCs w:val="32"/>
        </w:rPr>
        <w:t xml:space="preserve">第三条　</w:t>
      </w:r>
      <w:r>
        <w:rPr>
          <w:rFonts w:hint="eastAsia"/>
          <w:sz w:val="32"/>
          <w:szCs w:val="32"/>
        </w:rPr>
        <w:t>本规定所称居住建筑，是指住宅建筑（以下简称住宅）和公共服务设施中对日照有特殊要求的托幼、中小学校教学楼，医院、疗养院病房楼，养老院宿舍楼等建筑（以下简称公共建筑）。</w:t>
      </w:r>
    </w:p>
    <w:p w:rsidR="008D03E2" w:rsidRDefault="005D57EF">
      <w:pPr>
        <w:spacing w:line="576" w:lineRule="exact"/>
        <w:ind w:firstLine="640"/>
        <w:rPr>
          <w:sz w:val="32"/>
          <w:szCs w:val="32"/>
        </w:rPr>
      </w:pPr>
      <w:r>
        <w:rPr>
          <w:rFonts w:ascii="黑体" w:eastAsia="黑体" w:hint="eastAsia"/>
          <w:sz w:val="32"/>
          <w:szCs w:val="32"/>
        </w:rPr>
        <w:t>第四条</w:t>
      </w:r>
      <w:r>
        <w:rPr>
          <w:rFonts w:hint="eastAsia"/>
          <w:sz w:val="32"/>
          <w:szCs w:val="32"/>
        </w:rPr>
        <w:t xml:space="preserve">　本规定由市城市规划行政主管部门负责组织实施。各级政府和有关部门应当按照其职责分工共同做好有关管理工作。</w:t>
      </w:r>
    </w:p>
    <w:p w:rsidR="008D03E2" w:rsidRDefault="005D57EF" w:rsidP="009B097F">
      <w:pPr>
        <w:spacing w:beforeLines="100" w:afterLines="100" w:line="576" w:lineRule="exact"/>
        <w:ind w:firstLineChars="0" w:firstLine="0"/>
        <w:jc w:val="center"/>
        <w:rPr>
          <w:rFonts w:ascii="黑体" w:eastAsia="黑体"/>
          <w:sz w:val="32"/>
          <w:szCs w:val="32"/>
        </w:rPr>
      </w:pPr>
      <w:r>
        <w:rPr>
          <w:rFonts w:ascii="黑体" w:eastAsia="黑体" w:hint="eastAsia"/>
          <w:sz w:val="32"/>
          <w:szCs w:val="32"/>
        </w:rPr>
        <w:lastRenderedPageBreak/>
        <w:t>第二章　建筑间距管理</w:t>
      </w:r>
    </w:p>
    <w:p w:rsidR="008D03E2" w:rsidRDefault="005D57EF">
      <w:pPr>
        <w:spacing w:line="576" w:lineRule="exact"/>
        <w:ind w:firstLine="640"/>
        <w:rPr>
          <w:sz w:val="32"/>
          <w:szCs w:val="32"/>
        </w:rPr>
      </w:pPr>
      <w:r>
        <w:rPr>
          <w:rFonts w:ascii="黑体" w:eastAsia="黑体" w:hint="eastAsia"/>
          <w:sz w:val="32"/>
          <w:szCs w:val="32"/>
        </w:rPr>
        <w:t xml:space="preserve">第五条　</w:t>
      </w:r>
      <w:r>
        <w:rPr>
          <w:rFonts w:hint="eastAsia"/>
          <w:sz w:val="32"/>
          <w:szCs w:val="32"/>
        </w:rPr>
        <w:t>建筑间距以遮挡建筑遮挡面至被遮挡建筑主采光面外墙之间最小垂直距离计算。遮挡建筑屋面为坡屋面时，建筑间距的确定应考虑遮挡建筑屋脊对遮光的影响。按遮挡面宽度计算建筑间距时，以最大遮挡面与被遮挡建筑主采光面外墙</w:t>
      </w:r>
      <w:r>
        <w:rPr>
          <w:rFonts w:hint="eastAsia"/>
          <w:sz w:val="32"/>
          <w:szCs w:val="32"/>
        </w:rPr>
        <w:t>的最小垂直距离计算。遮挡建筑外墙有凹凸变化（如设置阳台等），且突出部位累计长度大于外墙总长度</w:t>
      </w:r>
      <w:r>
        <w:rPr>
          <w:rFonts w:hint="eastAsia"/>
          <w:sz w:val="32"/>
          <w:szCs w:val="32"/>
        </w:rPr>
        <w:t>1/2</w:t>
      </w:r>
      <w:r>
        <w:rPr>
          <w:rFonts w:hint="eastAsia"/>
          <w:sz w:val="32"/>
          <w:szCs w:val="32"/>
        </w:rPr>
        <w:t>或连续长度大于外墙总长度</w:t>
      </w:r>
      <w:r>
        <w:rPr>
          <w:rFonts w:hint="eastAsia"/>
          <w:sz w:val="32"/>
          <w:szCs w:val="32"/>
        </w:rPr>
        <w:t>1/3</w:t>
      </w:r>
      <w:r>
        <w:rPr>
          <w:rFonts w:hint="eastAsia"/>
          <w:sz w:val="32"/>
          <w:szCs w:val="32"/>
        </w:rPr>
        <w:t>的，建筑间距按遮挡建筑突出部位外缘至被遮挡建筑主采光面外墙计算。</w:t>
      </w:r>
    </w:p>
    <w:p w:rsidR="008D03E2" w:rsidRDefault="005D57EF">
      <w:pPr>
        <w:spacing w:line="576" w:lineRule="exact"/>
        <w:ind w:firstLine="640"/>
        <w:rPr>
          <w:sz w:val="32"/>
          <w:szCs w:val="32"/>
        </w:rPr>
      </w:pPr>
      <w:r>
        <w:rPr>
          <w:rFonts w:hint="eastAsia"/>
          <w:sz w:val="32"/>
          <w:szCs w:val="32"/>
        </w:rPr>
        <w:t>被遮挡建筑每套房屋只确认一个主采光面。主采光面按建筑南、东、西方向的主次顺序排列，非主采光面山墙设窗的除外。</w:t>
      </w:r>
    </w:p>
    <w:p w:rsidR="008D03E2" w:rsidRDefault="005D57EF">
      <w:pPr>
        <w:spacing w:line="576" w:lineRule="exact"/>
        <w:ind w:firstLine="640"/>
        <w:rPr>
          <w:sz w:val="32"/>
          <w:szCs w:val="32"/>
        </w:rPr>
      </w:pPr>
      <w:r>
        <w:rPr>
          <w:rFonts w:ascii="黑体" w:eastAsia="黑体" w:hint="eastAsia"/>
          <w:sz w:val="32"/>
          <w:szCs w:val="32"/>
        </w:rPr>
        <w:t xml:space="preserve">第六条　</w:t>
      </w:r>
      <w:r>
        <w:rPr>
          <w:rFonts w:hint="eastAsia"/>
          <w:sz w:val="32"/>
          <w:szCs w:val="32"/>
        </w:rPr>
        <w:t>遮挡建筑计算高度以遮挡建筑的建筑高度（建筑室外设计地面至建筑檐口或女儿墙顶面的垂直距离）加上遮挡建筑室外设计地面标高与被遮挡建筑室外设计地面标高的差值计算。</w:t>
      </w:r>
    </w:p>
    <w:p w:rsidR="008D03E2" w:rsidRDefault="005D57EF">
      <w:pPr>
        <w:spacing w:line="576" w:lineRule="exact"/>
        <w:ind w:firstLine="640"/>
        <w:rPr>
          <w:sz w:val="32"/>
          <w:szCs w:val="32"/>
        </w:rPr>
      </w:pPr>
      <w:r>
        <w:rPr>
          <w:rFonts w:ascii="黑体" w:eastAsia="黑体" w:hint="eastAsia"/>
          <w:sz w:val="32"/>
          <w:szCs w:val="32"/>
        </w:rPr>
        <w:t xml:space="preserve">第七条　</w:t>
      </w:r>
      <w:r>
        <w:rPr>
          <w:rFonts w:hint="eastAsia"/>
          <w:sz w:val="32"/>
          <w:szCs w:val="32"/>
        </w:rPr>
        <w:t>按遮挡建筑高度计算的建筑间距系数为</w:t>
      </w:r>
      <w:r>
        <w:rPr>
          <w:rFonts w:hint="eastAsia"/>
          <w:sz w:val="32"/>
          <w:szCs w:val="32"/>
        </w:rPr>
        <w:t>建筑间距与遮挡建筑计算高度的比值；按遮挡建筑面宽计算的建筑间距系数为建筑间距与遮挡建筑最大遮挡面投影宽度的比值。</w:t>
      </w:r>
    </w:p>
    <w:p w:rsidR="008D03E2" w:rsidRDefault="005D57EF">
      <w:pPr>
        <w:spacing w:line="576" w:lineRule="exact"/>
        <w:ind w:firstLine="640"/>
        <w:rPr>
          <w:sz w:val="32"/>
          <w:szCs w:val="32"/>
        </w:rPr>
      </w:pPr>
      <w:r>
        <w:rPr>
          <w:rFonts w:ascii="黑体" w:eastAsia="黑体" w:hint="eastAsia"/>
          <w:sz w:val="32"/>
          <w:szCs w:val="32"/>
        </w:rPr>
        <w:t xml:space="preserve">第八条　</w:t>
      </w:r>
      <w:r>
        <w:rPr>
          <w:rFonts w:hint="eastAsia"/>
          <w:sz w:val="32"/>
          <w:szCs w:val="32"/>
        </w:rPr>
        <w:t>遮挡建筑分为多层建筑和高层建筑。多层建筑的高度应为</w:t>
      </w:r>
      <w:r>
        <w:rPr>
          <w:rFonts w:hint="eastAsia"/>
          <w:sz w:val="32"/>
          <w:szCs w:val="32"/>
        </w:rPr>
        <w:t>24</w:t>
      </w:r>
      <w:r>
        <w:rPr>
          <w:rFonts w:hint="eastAsia"/>
          <w:sz w:val="32"/>
          <w:szCs w:val="32"/>
        </w:rPr>
        <w:t>米以下；高层建筑的高度应为</w:t>
      </w:r>
      <w:r>
        <w:rPr>
          <w:rFonts w:hint="eastAsia"/>
          <w:sz w:val="32"/>
          <w:szCs w:val="32"/>
        </w:rPr>
        <w:t>24</w:t>
      </w:r>
      <w:r>
        <w:rPr>
          <w:rFonts w:hint="eastAsia"/>
          <w:sz w:val="32"/>
          <w:szCs w:val="32"/>
        </w:rPr>
        <w:t>米以上。</w:t>
      </w:r>
    </w:p>
    <w:p w:rsidR="008D03E2" w:rsidRDefault="005D57EF">
      <w:pPr>
        <w:spacing w:line="576" w:lineRule="exact"/>
        <w:ind w:firstLine="640"/>
        <w:rPr>
          <w:sz w:val="32"/>
          <w:szCs w:val="32"/>
        </w:rPr>
      </w:pPr>
      <w:r>
        <w:rPr>
          <w:rFonts w:ascii="黑体" w:eastAsia="黑体" w:hint="eastAsia"/>
          <w:sz w:val="32"/>
          <w:szCs w:val="32"/>
        </w:rPr>
        <w:t xml:space="preserve">第九条　</w:t>
      </w:r>
      <w:r>
        <w:rPr>
          <w:rFonts w:hint="eastAsia"/>
          <w:sz w:val="32"/>
          <w:szCs w:val="32"/>
        </w:rPr>
        <w:t>住宅建筑高度在</w:t>
      </w:r>
      <w:r>
        <w:rPr>
          <w:rFonts w:hint="eastAsia"/>
          <w:sz w:val="32"/>
          <w:szCs w:val="32"/>
        </w:rPr>
        <w:t>40</w:t>
      </w:r>
      <w:r>
        <w:rPr>
          <w:rFonts w:hint="eastAsia"/>
          <w:sz w:val="32"/>
          <w:szCs w:val="32"/>
        </w:rPr>
        <w:t>米以下时，面宽不大于</w:t>
      </w:r>
      <w:r>
        <w:rPr>
          <w:rFonts w:hint="eastAsia"/>
          <w:sz w:val="32"/>
          <w:szCs w:val="32"/>
        </w:rPr>
        <w:t>80</w:t>
      </w:r>
      <w:r>
        <w:rPr>
          <w:rFonts w:hint="eastAsia"/>
          <w:sz w:val="32"/>
          <w:szCs w:val="32"/>
        </w:rPr>
        <w:t>米；</w:t>
      </w:r>
      <w:r>
        <w:rPr>
          <w:rFonts w:hint="eastAsia"/>
          <w:sz w:val="32"/>
          <w:szCs w:val="32"/>
        </w:rPr>
        <w:lastRenderedPageBreak/>
        <w:t>住宅建筑高度在</w:t>
      </w:r>
      <w:r>
        <w:rPr>
          <w:rFonts w:hint="eastAsia"/>
          <w:sz w:val="32"/>
          <w:szCs w:val="32"/>
        </w:rPr>
        <w:t>40</w:t>
      </w:r>
      <w:r>
        <w:rPr>
          <w:rFonts w:hint="eastAsia"/>
          <w:sz w:val="32"/>
          <w:szCs w:val="32"/>
        </w:rPr>
        <w:t>米以上时，面宽不大于</w:t>
      </w:r>
      <w:r>
        <w:rPr>
          <w:rFonts w:hint="eastAsia"/>
          <w:sz w:val="32"/>
          <w:szCs w:val="32"/>
        </w:rPr>
        <w:t>60</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第十条</w:t>
      </w:r>
      <w:r>
        <w:rPr>
          <w:rFonts w:hint="eastAsia"/>
          <w:sz w:val="32"/>
          <w:szCs w:val="32"/>
        </w:rPr>
        <w:t xml:space="preserve">　多层建筑遮挡相邻住宅，当两幢建筑平行布置或相互夹角在</w:t>
      </w:r>
      <w:r>
        <w:rPr>
          <w:rFonts w:hint="eastAsia"/>
          <w:sz w:val="32"/>
          <w:szCs w:val="32"/>
        </w:rPr>
        <w:t>30</w:t>
      </w:r>
      <w:r>
        <w:rPr>
          <w:rFonts w:hint="eastAsia"/>
          <w:sz w:val="32"/>
          <w:szCs w:val="32"/>
        </w:rPr>
        <w:t>度以下时，建筑间距按下列标准执行：</w:t>
      </w:r>
    </w:p>
    <w:p w:rsidR="008D03E2" w:rsidRDefault="005D57EF">
      <w:pPr>
        <w:spacing w:line="576" w:lineRule="exact"/>
        <w:ind w:firstLine="640"/>
        <w:rPr>
          <w:sz w:val="32"/>
          <w:szCs w:val="32"/>
        </w:rPr>
      </w:pPr>
      <w:r>
        <w:rPr>
          <w:rFonts w:hint="eastAsia"/>
          <w:sz w:val="32"/>
          <w:szCs w:val="32"/>
        </w:rPr>
        <w:t>（一）在三环路以内地区，当遮挡建筑计算高度小于</w:t>
      </w:r>
      <w:r>
        <w:rPr>
          <w:rFonts w:hint="eastAsia"/>
          <w:sz w:val="32"/>
          <w:szCs w:val="32"/>
        </w:rPr>
        <w:t>18</w:t>
      </w:r>
      <w:r>
        <w:rPr>
          <w:rFonts w:hint="eastAsia"/>
          <w:sz w:val="32"/>
          <w:szCs w:val="32"/>
        </w:rPr>
        <w:t>米时，建筑间距系数不得小于</w:t>
      </w:r>
      <w:r>
        <w:rPr>
          <w:rFonts w:hint="eastAsia"/>
          <w:sz w:val="32"/>
          <w:szCs w:val="32"/>
        </w:rPr>
        <w:t>1.5</w:t>
      </w:r>
      <w:r>
        <w:rPr>
          <w:rFonts w:hint="eastAsia"/>
          <w:sz w:val="32"/>
          <w:szCs w:val="32"/>
        </w:rPr>
        <w:t>，且建筑间距不得小于</w:t>
      </w:r>
      <w:r>
        <w:rPr>
          <w:rFonts w:hint="eastAsia"/>
          <w:sz w:val="32"/>
          <w:szCs w:val="32"/>
        </w:rPr>
        <w:t>9</w:t>
      </w:r>
      <w:r>
        <w:rPr>
          <w:rFonts w:hint="eastAsia"/>
          <w:sz w:val="32"/>
          <w:szCs w:val="32"/>
        </w:rPr>
        <w:t>米；当遮挡建筑计算高度大于</w:t>
      </w:r>
      <w:r>
        <w:rPr>
          <w:rFonts w:hint="eastAsia"/>
          <w:sz w:val="32"/>
          <w:szCs w:val="32"/>
        </w:rPr>
        <w:t>18</w:t>
      </w:r>
      <w:r>
        <w:rPr>
          <w:rFonts w:hint="eastAsia"/>
          <w:sz w:val="32"/>
          <w:szCs w:val="32"/>
        </w:rPr>
        <w:t>米时，建筑间距系数不得小于</w:t>
      </w:r>
      <w:r>
        <w:rPr>
          <w:rFonts w:hint="eastAsia"/>
          <w:sz w:val="32"/>
          <w:szCs w:val="32"/>
        </w:rPr>
        <w:t>1.7</w:t>
      </w:r>
      <w:r>
        <w:rPr>
          <w:rFonts w:hint="eastAsia"/>
          <w:sz w:val="32"/>
          <w:szCs w:val="32"/>
        </w:rPr>
        <w:t>。</w:t>
      </w:r>
    </w:p>
    <w:p w:rsidR="008D03E2" w:rsidRDefault="005D57EF">
      <w:pPr>
        <w:spacing w:line="576" w:lineRule="exact"/>
        <w:ind w:firstLine="640"/>
        <w:rPr>
          <w:sz w:val="32"/>
          <w:szCs w:val="32"/>
        </w:rPr>
      </w:pPr>
      <w:r>
        <w:rPr>
          <w:rFonts w:hint="eastAsia"/>
          <w:sz w:val="32"/>
          <w:szCs w:val="32"/>
        </w:rPr>
        <w:t>（二）在三环路以外地区，建筑间距系数不得小于</w:t>
      </w:r>
      <w:r>
        <w:rPr>
          <w:rFonts w:hint="eastAsia"/>
          <w:sz w:val="32"/>
          <w:szCs w:val="32"/>
        </w:rPr>
        <w:t>1.7</w:t>
      </w:r>
      <w:r>
        <w:rPr>
          <w:rFonts w:hint="eastAsia"/>
          <w:sz w:val="32"/>
          <w:szCs w:val="32"/>
        </w:rPr>
        <w:t>，且建筑间距不得小于</w:t>
      </w:r>
      <w:r>
        <w:rPr>
          <w:rFonts w:hint="eastAsia"/>
          <w:sz w:val="32"/>
          <w:szCs w:val="32"/>
        </w:rPr>
        <w:t>9</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 xml:space="preserve">第十一条　</w:t>
      </w:r>
      <w:r>
        <w:rPr>
          <w:rFonts w:hint="eastAsia"/>
          <w:sz w:val="32"/>
          <w:szCs w:val="32"/>
        </w:rPr>
        <w:t>多层建筑遮挡相邻住宅，当两幢建筑垂直布置或相互夹角在</w:t>
      </w:r>
      <w:r>
        <w:rPr>
          <w:rFonts w:hint="eastAsia"/>
          <w:sz w:val="32"/>
          <w:szCs w:val="32"/>
        </w:rPr>
        <w:t>60</w:t>
      </w:r>
      <w:r>
        <w:rPr>
          <w:rFonts w:hint="eastAsia"/>
          <w:sz w:val="32"/>
          <w:szCs w:val="32"/>
        </w:rPr>
        <w:t>度以上</w:t>
      </w:r>
      <w:r>
        <w:rPr>
          <w:rFonts w:hint="eastAsia"/>
          <w:sz w:val="32"/>
          <w:szCs w:val="32"/>
        </w:rPr>
        <w:t>90</w:t>
      </w:r>
      <w:r>
        <w:rPr>
          <w:rFonts w:hint="eastAsia"/>
          <w:sz w:val="32"/>
          <w:szCs w:val="32"/>
        </w:rPr>
        <w:t>度以下，且短边对东、西、北侧住宅长边时，建筑间距不得小于遮挡建筑短边宽度的</w:t>
      </w:r>
      <w:r>
        <w:rPr>
          <w:rFonts w:hint="eastAsia"/>
          <w:sz w:val="32"/>
          <w:szCs w:val="32"/>
        </w:rPr>
        <w:t>1.3</w:t>
      </w:r>
      <w:r>
        <w:rPr>
          <w:rFonts w:hint="eastAsia"/>
          <w:sz w:val="32"/>
          <w:szCs w:val="32"/>
        </w:rPr>
        <w:t>倍，且不得小于</w:t>
      </w:r>
      <w:r>
        <w:rPr>
          <w:rFonts w:hint="eastAsia"/>
          <w:sz w:val="32"/>
          <w:szCs w:val="32"/>
        </w:rPr>
        <w:t>12</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 xml:space="preserve">第十二条　</w:t>
      </w:r>
      <w:r>
        <w:rPr>
          <w:rFonts w:hint="eastAsia"/>
          <w:sz w:val="32"/>
          <w:szCs w:val="32"/>
        </w:rPr>
        <w:t>多层建筑遮挡相邻住宅，当两幢建筑夹角在</w:t>
      </w:r>
      <w:r>
        <w:rPr>
          <w:rFonts w:hint="eastAsia"/>
          <w:sz w:val="32"/>
          <w:szCs w:val="32"/>
        </w:rPr>
        <w:t>30</w:t>
      </w:r>
      <w:r>
        <w:rPr>
          <w:rFonts w:hint="eastAsia"/>
          <w:sz w:val="32"/>
          <w:szCs w:val="32"/>
        </w:rPr>
        <w:t>度以上</w:t>
      </w:r>
      <w:r>
        <w:rPr>
          <w:rFonts w:hint="eastAsia"/>
          <w:sz w:val="32"/>
          <w:szCs w:val="32"/>
        </w:rPr>
        <w:t>60</w:t>
      </w:r>
      <w:r>
        <w:rPr>
          <w:rFonts w:hint="eastAsia"/>
          <w:sz w:val="32"/>
          <w:szCs w:val="32"/>
        </w:rPr>
        <w:t>度以下时，建筑间距系数</w:t>
      </w:r>
      <w:r>
        <w:rPr>
          <w:rFonts w:hint="eastAsia"/>
          <w:sz w:val="32"/>
          <w:szCs w:val="32"/>
        </w:rPr>
        <w:t>按平行布置时的系数相应折减</w:t>
      </w:r>
      <w:r>
        <w:rPr>
          <w:rFonts w:hint="eastAsia"/>
          <w:sz w:val="32"/>
          <w:szCs w:val="32"/>
        </w:rPr>
        <w:t>0.2</w:t>
      </w:r>
      <w:r>
        <w:rPr>
          <w:rFonts w:hint="eastAsia"/>
          <w:sz w:val="32"/>
          <w:szCs w:val="32"/>
        </w:rPr>
        <w:t>。</w:t>
      </w:r>
    </w:p>
    <w:p w:rsidR="008D03E2" w:rsidRDefault="005D57EF">
      <w:pPr>
        <w:spacing w:line="576" w:lineRule="exact"/>
        <w:ind w:firstLine="640"/>
        <w:rPr>
          <w:sz w:val="32"/>
          <w:szCs w:val="32"/>
        </w:rPr>
      </w:pPr>
      <w:r>
        <w:rPr>
          <w:rFonts w:ascii="黑体" w:eastAsia="黑体" w:hint="eastAsia"/>
          <w:sz w:val="32"/>
          <w:szCs w:val="32"/>
        </w:rPr>
        <w:t xml:space="preserve">第十三条　</w:t>
      </w:r>
      <w:r>
        <w:rPr>
          <w:rFonts w:hint="eastAsia"/>
          <w:sz w:val="32"/>
          <w:szCs w:val="32"/>
        </w:rPr>
        <w:t>高层建筑遮挡相邻住宅，当建筑高度与建筑面宽之比小于</w:t>
      </w:r>
      <w:r>
        <w:rPr>
          <w:rFonts w:hint="eastAsia"/>
          <w:sz w:val="32"/>
          <w:szCs w:val="32"/>
        </w:rPr>
        <w:t>1.2</w:t>
      </w:r>
      <w:r>
        <w:rPr>
          <w:rFonts w:hint="eastAsia"/>
          <w:sz w:val="32"/>
          <w:szCs w:val="32"/>
        </w:rPr>
        <w:t>时，按遮挡建筑计算高度确定建筑间距系数：</w:t>
      </w:r>
    </w:p>
    <w:p w:rsidR="008D03E2" w:rsidRDefault="005D57EF">
      <w:pPr>
        <w:spacing w:line="576" w:lineRule="exact"/>
        <w:ind w:firstLine="640"/>
        <w:rPr>
          <w:sz w:val="32"/>
          <w:szCs w:val="32"/>
        </w:rPr>
      </w:pPr>
      <w:r>
        <w:rPr>
          <w:rFonts w:hint="eastAsia"/>
          <w:sz w:val="32"/>
          <w:szCs w:val="32"/>
        </w:rPr>
        <w:t>（一）在三环路以内地区，建筑间距系数不得小于</w:t>
      </w:r>
      <w:r>
        <w:rPr>
          <w:rFonts w:hint="eastAsia"/>
          <w:sz w:val="32"/>
          <w:szCs w:val="32"/>
        </w:rPr>
        <w:t>1.7</w:t>
      </w:r>
      <w:r>
        <w:rPr>
          <w:rFonts w:hint="eastAsia"/>
          <w:sz w:val="32"/>
          <w:szCs w:val="32"/>
        </w:rPr>
        <w:t>；</w:t>
      </w:r>
    </w:p>
    <w:p w:rsidR="008D03E2" w:rsidRDefault="005D57EF">
      <w:pPr>
        <w:spacing w:line="576" w:lineRule="exact"/>
        <w:ind w:firstLine="640"/>
        <w:rPr>
          <w:sz w:val="32"/>
          <w:szCs w:val="32"/>
        </w:rPr>
      </w:pPr>
      <w:r>
        <w:rPr>
          <w:rFonts w:hint="eastAsia"/>
          <w:sz w:val="32"/>
          <w:szCs w:val="32"/>
        </w:rPr>
        <w:t>（二）在三环路以外地区，建筑间距系数不得小于</w:t>
      </w:r>
      <w:r>
        <w:rPr>
          <w:rFonts w:hint="eastAsia"/>
          <w:sz w:val="32"/>
          <w:szCs w:val="32"/>
        </w:rPr>
        <w:t>2.0</w:t>
      </w:r>
      <w:r>
        <w:rPr>
          <w:rFonts w:hint="eastAsia"/>
          <w:sz w:val="32"/>
          <w:szCs w:val="32"/>
        </w:rPr>
        <w:t>；</w:t>
      </w:r>
    </w:p>
    <w:p w:rsidR="008D03E2" w:rsidRDefault="005D57EF">
      <w:pPr>
        <w:spacing w:line="576" w:lineRule="exact"/>
        <w:ind w:firstLine="640"/>
        <w:rPr>
          <w:sz w:val="32"/>
          <w:szCs w:val="32"/>
        </w:rPr>
      </w:pPr>
      <w:r>
        <w:rPr>
          <w:rFonts w:hint="eastAsia"/>
          <w:sz w:val="32"/>
          <w:szCs w:val="32"/>
        </w:rPr>
        <w:t>（三）经市政府批准的政策性保障住房，建筑间距系数不得小于</w:t>
      </w:r>
      <w:r>
        <w:rPr>
          <w:rFonts w:hint="eastAsia"/>
          <w:sz w:val="32"/>
          <w:szCs w:val="32"/>
        </w:rPr>
        <w:t>1.5</w:t>
      </w:r>
      <w:r>
        <w:rPr>
          <w:rFonts w:hint="eastAsia"/>
          <w:sz w:val="32"/>
          <w:szCs w:val="32"/>
        </w:rPr>
        <w:t>。</w:t>
      </w:r>
    </w:p>
    <w:p w:rsidR="008D03E2" w:rsidRDefault="005D57EF">
      <w:pPr>
        <w:spacing w:line="576" w:lineRule="exact"/>
        <w:ind w:firstLine="640"/>
        <w:rPr>
          <w:sz w:val="32"/>
          <w:szCs w:val="32"/>
        </w:rPr>
      </w:pPr>
      <w:r>
        <w:rPr>
          <w:rFonts w:ascii="黑体" w:eastAsia="黑体" w:hint="eastAsia"/>
          <w:sz w:val="32"/>
          <w:szCs w:val="32"/>
        </w:rPr>
        <w:lastRenderedPageBreak/>
        <w:t xml:space="preserve">第十四条　</w:t>
      </w:r>
      <w:r>
        <w:rPr>
          <w:rFonts w:hint="eastAsia"/>
          <w:sz w:val="32"/>
          <w:szCs w:val="32"/>
        </w:rPr>
        <w:t>高层建筑遮挡相邻住宅，当建筑高度与建筑面宽之比大于</w:t>
      </w:r>
      <w:r>
        <w:rPr>
          <w:rFonts w:hint="eastAsia"/>
          <w:sz w:val="32"/>
          <w:szCs w:val="32"/>
        </w:rPr>
        <w:t>1.2</w:t>
      </w:r>
      <w:r>
        <w:rPr>
          <w:rFonts w:hint="eastAsia"/>
          <w:sz w:val="32"/>
          <w:szCs w:val="32"/>
        </w:rPr>
        <w:t>时，按遮挡建筑面宽确定建筑间距系数：</w:t>
      </w:r>
    </w:p>
    <w:p w:rsidR="008D03E2" w:rsidRDefault="005D57EF">
      <w:pPr>
        <w:spacing w:line="576" w:lineRule="exact"/>
        <w:ind w:firstLine="640"/>
        <w:rPr>
          <w:sz w:val="32"/>
          <w:szCs w:val="32"/>
        </w:rPr>
      </w:pPr>
      <w:r>
        <w:rPr>
          <w:rFonts w:hint="eastAsia"/>
          <w:sz w:val="32"/>
          <w:szCs w:val="32"/>
        </w:rPr>
        <w:t>（一）在三环路以内地区，当建筑高度在</w:t>
      </w:r>
      <w:r>
        <w:rPr>
          <w:rFonts w:hint="eastAsia"/>
          <w:sz w:val="32"/>
          <w:szCs w:val="32"/>
        </w:rPr>
        <w:t>40</w:t>
      </w:r>
      <w:r>
        <w:rPr>
          <w:rFonts w:hint="eastAsia"/>
          <w:sz w:val="32"/>
          <w:szCs w:val="32"/>
        </w:rPr>
        <w:t>米以下时，建筑间距系数不得小于</w:t>
      </w:r>
      <w:r>
        <w:rPr>
          <w:rFonts w:hint="eastAsia"/>
          <w:sz w:val="32"/>
          <w:szCs w:val="32"/>
        </w:rPr>
        <w:t>1.3</w:t>
      </w:r>
      <w:r>
        <w:rPr>
          <w:rFonts w:hint="eastAsia"/>
          <w:sz w:val="32"/>
          <w:szCs w:val="32"/>
        </w:rPr>
        <w:t>，且建筑间距不</w:t>
      </w:r>
      <w:r>
        <w:rPr>
          <w:rFonts w:hint="eastAsia"/>
          <w:sz w:val="32"/>
          <w:szCs w:val="32"/>
        </w:rPr>
        <w:t>得小于</w:t>
      </w:r>
      <w:r>
        <w:rPr>
          <w:rFonts w:hint="eastAsia"/>
          <w:sz w:val="32"/>
          <w:szCs w:val="32"/>
        </w:rPr>
        <w:t>30</w:t>
      </w:r>
      <w:r>
        <w:rPr>
          <w:rFonts w:hint="eastAsia"/>
          <w:sz w:val="32"/>
          <w:szCs w:val="32"/>
        </w:rPr>
        <w:t>米；当建筑高度在</w:t>
      </w:r>
      <w:r>
        <w:rPr>
          <w:rFonts w:hint="eastAsia"/>
          <w:sz w:val="32"/>
          <w:szCs w:val="32"/>
        </w:rPr>
        <w:t>40</w:t>
      </w:r>
      <w:r>
        <w:rPr>
          <w:rFonts w:hint="eastAsia"/>
          <w:sz w:val="32"/>
          <w:szCs w:val="32"/>
        </w:rPr>
        <w:t>米以上时，建筑间距系数不得小于</w:t>
      </w:r>
      <w:r>
        <w:rPr>
          <w:rFonts w:hint="eastAsia"/>
          <w:sz w:val="32"/>
          <w:szCs w:val="32"/>
        </w:rPr>
        <w:t>1.4</w:t>
      </w:r>
      <w:r>
        <w:rPr>
          <w:rFonts w:hint="eastAsia"/>
          <w:sz w:val="32"/>
          <w:szCs w:val="32"/>
        </w:rPr>
        <w:t>，且建筑间距不得小于</w:t>
      </w:r>
      <w:r>
        <w:rPr>
          <w:rFonts w:hint="eastAsia"/>
          <w:sz w:val="32"/>
          <w:szCs w:val="32"/>
        </w:rPr>
        <w:t>40</w:t>
      </w:r>
      <w:r>
        <w:rPr>
          <w:rFonts w:hint="eastAsia"/>
          <w:sz w:val="32"/>
          <w:szCs w:val="32"/>
        </w:rPr>
        <w:t>米；</w:t>
      </w:r>
    </w:p>
    <w:p w:rsidR="008D03E2" w:rsidRDefault="005D57EF">
      <w:pPr>
        <w:spacing w:line="576" w:lineRule="exact"/>
        <w:ind w:firstLine="640"/>
        <w:rPr>
          <w:sz w:val="32"/>
          <w:szCs w:val="32"/>
        </w:rPr>
      </w:pPr>
      <w:r>
        <w:rPr>
          <w:rFonts w:hint="eastAsia"/>
          <w:sz w:val="32"/>
          <w:szCs w:val="32"/>
        </w:rPr>
        <w:t>（二）在三环路以外地区，建筑间距系数不得小于</w:t>
      </w:r>
      <w:r>
        <w:rPr>
          <w:rFonts w:hint="eastAsia"/>
          <w:sz w:val="32"/>
          <w:szCs w:val="32"/>
        </w:rPr>
        <w:t>1.5</w:t>
      </w:r>
      <w:r>
        <w:rPr>
          <w:rFonts w:hint="eastAsia"/>
          <w:sz w:val="32"/>
          <w:szCs w:val="32"/>
        </w:rPr>
        <w:t>，且建筑间距不得小于</w:t>
      </w:r>
      <w:r>
        <w:rPr>
          <w:rFonts w:hint="eastAsia"/>
          <w:sz w:val="32"/>
          <w:szCs w:val="32"/>
        </w:rPr>
        <w:t>40</w:t>
      </w:r>
      <w:r>
        <w:rPr>
          <w:rFonts w:hint="eastAsia"/>
          <w:sz w:val="32"/>
          <w:szCs w:val="32"/>
        </w:rPr>
        <w:t>米；</w:t>
      </w:r>
    </w:p>
    <w:p w:rsidR="008D03E2" w:rsidRDefault="005D57EF">
      <w:pPr>
        <w:spacing w:line="576" w:lineRule="exact"/>
        <w:ind w:firstLine="640"/>
        <w:rPr>
          <w:sz w:val="32"/>
          <w:szCs w:val="32"/>
        </w:rPr>
      </w:pPr>
      <w:r>
        <w:rPr>
          <w:rFonts w:hint="eastAsia"/>
          <w:sz w:val="32"/>
          <w:szCs w:val="32"/>
        </w:rPr>
        <w:t>（三）经市政府批准的政策性保障住房，建筑间距系数不得小于</w:t>
      </w:r>
      <w:r>
        <w:rPr>
          <w:rFonts w:hint="eastAsia"/>
          <w:sz w:val="32"/>
          <w:szCs w:val="32"/>
        </w:rPr>
        <w:t>1.3</w:t>
      </w:r>
      <w:r>
        <w:rPr>
          <w:rFonts w:hint="eastAsia"/>
          <w:sz w:val="32"/>
          <w:szCs w:val="32"/>
        </w:rPr>
        <w:t>，且建筑间距不得小于</w:t>
      </w:r>
      <w:r>
        <w:rPr>
          <w:rFonts w:hint="eastAsia"/>
          <w:sz w:val="32"/>
          <w:szCs w:val="32"/>
        </w:rPr>
        <w:t>30</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 xml:space="preserve">第十五条　</w:t>
      </w:r>
      <w:r>
        <w:rPr>
          <w:rFonts w:hint="eastAsia"/>
          <w:sz w:val="32"/>
          <w:szCs w:val="32"/>
        </w:rPr>
        <w:t>两幢建筑短边相对且至少其中之一为住宅，建筑间距按下列标准执行：</w:t>
      </w:r>
    </w:p>
    <w:p w:rsidR="008D03E2" w:rsidRDefault="005D57EF">
      <w:pPr>
        <w:spacing w:line="576" w:lineRule="exact"/>
        <w:ind w:firstLine="640"/>
        <w:rPr>
          <w:sz w:val="32"/>
          <w:szCs w:val="32"/>
        </w:rPr>
      </w:pPr>
      <w:r>
        <w:rPr>
          <w:rFonts w:hint="eastAsia"/>
          <w:sz w:val="32"/>
          <w:szCs w:val="32"/>
        </w:rPr>
        <w:t>（一）多层建筑短边相对的建筑间距不得小于</w:t>
      </w:r>
      <w:r>
        <w:rPr>
          <w:rFonts w:hint="eastAsia"/>
          <w:sz w:val="32"/>
          <w:szCs w:val="32"/>
        </w:rPr>
        <w:t>8</w:t>
      </w:r>
      <w:r>
        <w:rPr>
          <w:rFonts w:hint="eastAsia"/>
          <w:sz w:val="32"/>
          <w:szCs w:val="32"/>
        </w:rPr>
        <w:t>米；</w:t>
      </w:r>
    </w:p>
    <w:p w:rsidR="008D03E2" w:rsidRDefault="005D57EF">
      <w:pPr>
        <w:spacing w:line="576" w:lineRule="exact"/>
        <w:ind w:firstLine="640"/>
        <w:rPr>
          <w:sz w:val="32"/>
          <w:szCs w:val="32"/>
        </w:rPr>
      </w:pPr>
      <w:r>
        <w:rPr>
          <w:rFonts w:hint="eastAsia"/>
          <w:sz w:val="32"/>
          <w:szCs w:val="32"/>
        </w:rPr>
        <w:t>（二）多层建筑与高层建筑短边相对的建筑间距不得小于多层建筑短边的</w:t>
      </w:r>
      <w:r>
        <w:rPr>
          <w:rFonts w:hint="eastAsia"/>
          <w:sz w:val="32"/>
          <w:szCs w:val="32"/>
        </w:rPr>
        <w:t>1.3</w:t>
      </w:r>
      <w:r>
        <w:rPr>
          <w:rFonts w:hint="eastAsia"/>
          <w:sz w:val="32"/>
          <w:szCs w:val="32"/>
        </w:rPr>
        <w:t>倍，且不得小于</w:t>
      </w:r>
      <w:r>
        <w:rPr>
          <w:rFonts w:hint="eastAsia"/>
          <w:sz w:val="32"/>
          <w:szCs w:val="32"/>
        </w:rPr>
        <w:t>13</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 xml:space="preserve">第十六条　</w:t>
      </w:r>
      <w:r>
        <w:rPr>
          <w:rFonts w:hint="eastAsia"/>
          <w:sz w:val="32"/>
          <w:szCs w:val="32"/>
        </w:rPr>
        <w:t>沿城市河流、大型绿地等城市开敞空间布置的高层住宅建筑，当退让用地界线小于本规定相对应要求的建筑间距一半时，成组布置的高层住宅相邻建筑的建筑间距不得小于新建建筑的平均建筑面宽的</w:t>
      </w:r>
      <w:r>
        <w:rPr>
          <w:rFonts w:hint="eastAsia"/>
          <w:sz w:val="32"/>
          <w:szCs w:val="32"/>
        </w:rPr>
        <w:t>2/3</w:t>
      </w:r>
      <w:r>
        <w:rPr>
          <w:rFonts w:hint="eastAsia"/>
          <w:sz w:val="32"/>
          <w:szCs w:val="32"/>
        </w:rPr>
        <w:t>；独栋高层住宅朝向开敞空间一侧的面宽不得大于其临界面宽度的</w:t>
      </w:r>
      <w:r>
        <w:rPr>
          <w:rFonts w:hint="eastAsia"/>
          <w:sz w:val="32"/>
          <w:szCs w:val="32"/>
        </w:rPr>
        <w:t>2/3</w:t>
      </w:r>
      <w:r>
        <w:rPr>
          <w:rFonts w:hint="eastAsia"/>
          <w:sz w:val="32"/>
          <w:szCs w:val="32"/>
        </w:rPr>
        <w:t>。</w:t>
      </w:r>
    </w:p>
    <w:p w:rsidR="008D03E2" w:rsidRDefault="005D57EF">
      <w:pPr>
        <w:spacing w:line="576" w:lineRule="exact"/>
        <w:ind w:firstLine="640"/>
        <w:rPr>
          <w:sz w:val="32"/>
          <w:szCs w:val="32"/>
        </w:rPr>
      </w:pPr>
      <w:r>
        <w:rPr>
          <w:rFonts w:ascii="黑体" w:eastAsia="黑体" w:hint="eastAsia"/>
          <w:sz w:val="32"/>
          <w:szCs w:val="32"/>
        </w:rPr>
        <w:t xml:space="preserve">第十七条　</w:t>
      </w:r>
      <w:r>
        <w:rPr>
          <w:rFonts w:hint="eastAsia"/>
          <w:sz w:val="32"/>
          <w:szCs w:val="32"/>
        </w:rPr>
        <w:t>沿城市主要道路一侧并列布置的高层住宅之间</w:t>
      </w:r>
      <w:r>
        <w:rPr>
          <w:rFonts w:hint="eastAsia"/>
          <w:sz w:val="32"/>
          <w:szCs w:val="32"/>
        </w:rPr>
        <w:lastRenderedPageBreak/>
        <w:t>的建筑间距除满足本规定相对应的建筑间距要求外，不得小于</w:t>
      </w:r>
      <w:r>
        <w:rPr>
          <w:rFonts w:hint="eastAsia"/>
          <w:sz w:val="32"/>
          <w:szCs w:val="32"/>
        </w:rPr>
        <w:t>30</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 xml:space="preserve">第十八条　</w:t>
      </w:r>
      <w:r>
        <w:rPr>
          <w:rFonts w:hint="eastAsia"/>
          <w:sz w:val="32"/>
          <w:szCs w:val="32"/>
        </w:rPr>
        <w:t>公共建筑与遮挡建筑之间的建筑间距按下列标准执行：</w:t>
      </w:r>
    </w:p>
    <w:p w:rsidR="008D03E2" w:rsidRDefault="005D57EF">
      <w:pPr>
        <w:spacing w:line="576" w:lineRule="exact"/>
        <w:ind w:firstLine="640"/>
        <w:rPr>
          <w:sz w:val="32"/>
          <w:szCs w:val="32"/>
        </w:rPr>
      </w:pPr>
      <w:r>
        <w:rPr>
          <w:rFonts w:hint="eastAsia"/>
          <w:sz w:val="32"/>
          <w:szCs w:val="32"/>
        </w:rPr>
        <w:t>（一）多层建筑遮挡公共建筑主采光面，两幢建筑平行布置时，建筑间距系数按建筑高度确定，不得小</w:t>
      </w:r>
      <w:r>
        <w:rPr>
          <w:rFonts w:hint="eastAsia"/>
          <w:sz w:val="32"/>
          <w:szCs w:val="32"/>
        </w:rPr>
        <w:t>于</w:t>
      </w:r>
      <w:r>
        <w:rPr>
          <w:rFonts w:hint="eastAsia"/>
          <w:sz w:val="32"/>
          <w:szCs w:val="32"/>
        </w:rPr>
        <w:t>2.0</w:t>
      </w:r>
      <w:r>
        <w:rPr>
          <w:rFonts w:hint="eastAsia"/>
          <w:sz w:val="32"/>
          <w:szCs w:val="32"/>
        </w:rPr>
        <w:t>；两幢建筑垂直布置时，建筑间距系数按遮挡建筑面宽确定，不得小于</w:t>
      </w:r>
      <w:r>
        <w:rPr>
          <w:rFonts w:hint="eastAsia"/>
          <w:sz w:val="32"/>
          <w:szCs w:val="32"/>
        </w:rPr>
        <w:t>1.5</w:t>
      </w:r>
      <w:r>
        <w:rPr>
          <w:rFonts w:hint="eastAsia"/>
          <w:sz w:val="32"/>
          <w:szCs w:val="32"/>
        </w:rPr>
        <w:t>。</w:t>
      </w:r>
    </w:p>
    <w:p w:rsidR="008D03E2" w:rsidRDefault="005D57EF">
      <w:pPr>
        <w:spacing w:line="576" w:lineRule="exact"/>
        <w:ind w:firstLine="640"/>
        <w:rPr>
          <w:sz w:val="32"/>
          <w:szCs w:val="32"/>
        </w:rPr>
      </w:pPr>
      <w:r>
        <w:rPr>
          <w:rFonts w:hint="eastAsia"/>
          <w:sz w:val="32"/>
          <w:szCs w:val="32"/>
        </w:rPr>
        <w:t>（二）高层建筑遮挡公共建筑主采光面，当遮挡建筑高度与建筑面宽之比小于</w:t>
      </w:r>
      <w:r>
        <w:rPr>
          <w:rFonts w:hint="eastAsia"/>
          <w:sz w:val="32"/>
          <w:szCs w:val="32"/>
        </w:rPr>
        <w:t>1.2</w:t>
      </w:r>
      <w:r>
        <w:rPr>
          <w:rFonts w:hint="eastAsia"/>
          <w:sz w:val="32"/>
          <w:szCs w:val="32"/>
        </w:rPr>
        <w:t>时，建筑间距系数按遮挡建筑高度确定，不得小于</w:t>
      </w:r>
      <w:r>
        <w:rPr>
          <w:rFonts w:hint="eastAsia"/>
          <w:sz w:val="32"/>
          <w:szCs w:val="32"/>
        </w:rPr>
        <w:t>2.0</w:t>
      </w:r>
      <w:r>
        <w:rPr>
          <w:rFonts w:hint="eastAsia"/>
          <w:sz w:val="32"/>
          <w:szCs w:val="32"/>
        </w:rPr>
        <w:t>；当遮挡建筑高度与面宽之比大于</w:t>
      </w:r>
      <w:r>
        <w:rPr>
          <w:rFonts w:hint="eastAsia"/>
          <w:sz w:val="32"/>
          <w:szCs w:val="32"/>
        </w:rPr>
        <w:t>1.2</w:t>
      </w:r>
      <w:r>
        <w:rPr>
          <w:rFonts w:hint="eastAsia"/>
          <w:sz w:val="32"/>
          <w:szCs w:val="32"/>
        </w:rPr>
        <w:t>时，建筑间距系数按遮挡建筑面宽确定，不得小于</w:t>
      </w:r>
      <w:r>
        <w:rPr>
          <w:rFonts w:hint="eastAsia"/>
          <w:sz w:val="32"/>
          <w:szCs w:val="32"/>
        </w:rPr>
        <w:t>1.6</w:t>
      </w:r>
      <w:r>
        <w:rPr>
          <w:rFonts w:hint="eastAsia"/>
          <w:sz w:val="32"/>
          <w:szCs w:val="32"/>
        </w:rPr>
        <w:t>。</w:t>
      </w:r>
    </w:p>
    <w:p w:rsidR="008D03E2" w:rsidRDefault="005D57EF">
      <w:pPr>
        <w:spacing w:line="576" w:lineRule="exact"/>
        <w:ind w:firstLine="640"/>
        <w:rPr>
          <w:sz w:val="32"/>
          <w:szCs w:val="32"/>
        </w:rPr>
      </w:pPr>
      <w:r>
        <w:rPr>
          <w:rFonts w:ascii="黑体" w:eastAsia="黑体" w:hint="eastAsia"/>
          <w:sz w:val="32"/>
          <w:szCs w:val="32"/>
        </w:rPr>
        <w:t xml:space="preserve">第十九条　</w:t>
      </w:r>
      <w:r>
        <w:rPr>
          <w:rFonts w:hint="eastAsia"/>
          <w:sz w:val="32"/>
          <w:szCs w:val="32"/>
        </w:rPr>
        <w:t>公共建筑与遮挡建筑之间呈其他布置方式时，建筑间距由城市规划行政主管部门确定。</w:t>
      </w:r>
    </w:p>
    <w:p w:rsidR="008D03E2" w:rsidRDefault="005D57EF">
      <w:pPr>
        <w:spacing w:line="576" w:lineRule="exact"/>
        <w:ind w:firstLine="640"/>
        <w:rPr>
          <w:sz w:val="32"/>
          <w:szCs w:val="32"/>
        </w:rPr>
      </w:pPr>
      <w:r>
        <w:rPr>
          <w:rFonts w:ascii="黑体" w:eastAsia="黑体" w:hint="eastAsia"/>
          <w:sz w:val="32"/>
          <w:szCs w:val="32"/>
        </w:rPr>
        <w:t xml:space="preserve">第二十条　</w:t>
      </w:r>
      <w:r>
        <w:rPr>
          <w:rFonts w:hint="eastAsia"/>
          <w:sz w:val="32"/>
          <w:szCs w:val="32"/>
        </w:rPr>
        <w:t>居住建筑长边对北、西、东侧非居住建筑，建筑间距按下列标准执行：</w:t>
      </w:r>
    </w:p>
    <w:p w:rsidR="008D03E2" w:rsidRDefault="005D57EF">
      <w:pPr>
        <w:spacing w:line="576" w:lineRule="exact"/>
        <w:ind w:firstLine="640"/>
        <w:rPr>
          <w:sz w:val="32"/>
          <w:szCs w:val="32"/>
        </w:rPr>
      </w:pPr>
      <w:r>
        <w:rPr>
          <w:rFonts w:hint="eastAsia"/>
          <w:sz w:val="32"/>
          <w:szCs w:val="32"/>
        </w:rPr>
        <w:t>（一）</w:t>
      </w:r>
      <w:r>
        <w:rPr>
          <w:rFonts w:hint="eastAsia"/>
          <w:sz w:val="32"/>
          <w:szCs w:val="32"/>
        </w:rPr>
        <w:t>15</w:t>
      </w:r>
      <w:r>
        <w:rPr>
          <w:rFonts w:hint="eastAsia"/>
          <w:sz w:val="32"/>
          <w:szCs w:val="32"/>
        </w:rPr>
        <w:t>米以上多层建筑之间和</w:t>
      </w:r>
      <w:r>
        <w:rPr>
          <w:rFonts w:hint="eastAsia"/>
          <w:sz w:val="32"/>
          <w:szCs w:val="32"/>
        </w:rPr>
        <w:t>15</w:t>
      </w:r>
      <w:r>
        <w:rPr>
          <w:rFonts w:hint="eastAsia"/>
          <w:sz w:val="32"/>
          <w:szCs w:val="32"/>
        </w:rPr>
        <w:t>米以上多层建筑与高层建</w:t>
      </w:r>
      <w:r>
        <w:rPr>
          <w:rFonts w:hint="eastAsia"/>
          <w:sz w:val="32"/>
          <w:szCs w:val="32"/>
        </w:rPr>
        <w:t>筑主体之间的建筑间距不得小于</w:t>
      </w:r>
      <w:r>
        <w:rPr>
          <w:rFonts w:hint="eastAsia"/>
          <w:sz w:val="32"/>
          <w:szCs w:val="32"/>
        </w:rPr>
        <w:t>20</w:t>
      </w:r>
      <w:r>
        <w:rPr>
          <w:rFonts w:hint="eastAsia"/>
          <w:sz w:val="32"/>
          <w:szCs w:val="32"/>
        </w:rPr>
        <w:t>米；</w:t>
      </w:r>
    </w:p>
    <w:p w:rsidR="008D03E2" w:rsidRDefault="005D57EF">
      <w:pPr>
        <w:spacing w:line="576" w:lineRule="exact"/>
        <w:ind w:firstLine="640"/>
        <w:rPr>
          <w:sz w:val="32"/>
          <w:szCs w:val="32"/>
        </w:rPr>
      </w:pPr>
      <w:r>
        <w:rPr>
          <w:rFonts w:hint="eastAsia"/>
          <w:sz w:val="32"/>
          <w:szCs w:val="32"/>
        </w:rPr>
        <w:t>（二）高层建筑主体之间的建筑间距不得小于</w:t>
      </w:r>
      <w:r>
        <w:rPr>
          <w:rFonts w:hint="eastAsia"/>
          <w:sz w:val="32"/>
          <w:szCs w:val="32"/>
        </w:rPr>
        <w:t>30</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t xml:space="preserve">第二十一条　</w:t>
      </w:r>
      <w:r>
        <w:rPr>
          <w:rFonts w:hint="eastAsia"/>
          <w:sz w:val="32"/>
          <w:szCs w:val="32"/>
        </w:rPr>
        <w:t>被遮挡住宅建筑的底部为</w:t>
      </w:r>
      <w:r>
        <w:rPr>
          <w:rFonts w:hint="eastAsia"/>
          <w:sz w:val="32"/>
          <w:szCs w:val="32"/>
        </w:rPr>
        <w:t>2</w:t>
      </w:r>
      <w:r>
        <w:rPr>
          <w:rFonts w:hint="eastAsia"/>
          <w:sz w:val="32"/>
          <w:szCs w:val="32"/>
        </w:rPr>
        <w:t>层以上非居住建筑时，遮挡建筑计算高度按其实际高度减去扣除底层后的非居住建筑高度计算，且建筑间距不得小于</w:t>
      </w:r>
      <w:r>
        <w:rPr>
          <w:rFonts w:hint="eastAsia"/>
          <w:sz w:val="32"/>
          <w:szCs w:val="32"/>
        </w:rPr>
        <w:t>20</w:t>
      </w:r>
      <w:r>
        <w:rPr>
          <w:rFonts w:hint="eastAsia"/>
          <w:sz w:val="32"/>
          <w:szCs w:val="32"/>
        </w:rPr>
        <w:t>米。</w:t>
      </w:r>
    </w:p>
    <w:p w:rsidR="008D03E2" w:rsidRDefault="005D57EF">
      <w:pPr>
        <w:spacing w:line="576" w:lineRule="exact"/>
        <w:ind w:firstLine="640"/>
        <w:rPr>
          <w:sz w:val="32"/>
          <w:szCs w:val="32"/>
        </w:rPr>
      </w:pPr>
      <w:r>
        <w:rPr>
          <w:rFonts w:ascii="黑体" w:eastAsia="黑体" w:hint="eastAsia"/>
          <w:sz w:val="32"/>
          <w:szCs w:val="32"/>
        </w:rPr>
        <w:lastRenderedPageBreak/>
        <w:t xml:space="preserve">第二十二条　</w:t>
      </w:r>
      <w:r>
        <w:rPr>
          <w:rFonts w:hint="eastAsia"/>
          <w:sz w:val="32"/>
          <w:szCs w:val="32"/>
        </w:rPr>
        <w:t>规划红线宽度</w:t>
      </w:r>
      <w:r>
        <w:rPr>
          <w:rFonts w:hint="eastAsia"/>
          <w:sz w:val="32"/>
          <w:szCs w:val="32"/>
        </w:rPr>
        <w:t>40</w:t>
      </w:r>
      <w:r>
        <w:rPr>
          <w:rFonts w:hint="eastAsia"/>
          <w:sz w:val="32"/>
          <w:szCs w:val="32"/>
        </w:rPr>
        <w:t>米以上的城市主要道路两侧建筑之间，以及本规定中未涉及的特殊情况，建筑间距由城市规划行政主管部门确定。</w:t>
      </w:r>
    </w:p>
    <w:p w:rsidR="008D03E2" w:rsidRDefault="005D57EF" w:rsidP="009B097F">
      <w:pPr>
        <w:spacing w:beforeLines="100" w:afterLines="100" w:line="576" w:lineRule="exact"/>
        <w:ind w:firstLineChars="0" w:firstLine="0"/>
        <w:jc w:val="center"/>
        <w:rPr>
          <w:rFonts w:ascii="黑体" w:eastAsia="黑体"/>
          <w:sz w:val="32"/>
          <w:szCs w:val="32"/>
        </w:rPr>
      </w:pPr>
      <w:r>
        <w:rPr>
          <w:rFonts w:ascii="黑体" w:eastAsia="黑体" w:hint="eastAsia"/>
          <w:sz w:val="32"/>
          <w:szCs w:val="32"/>
        </w:rPr>
        <w:t>第三章　住宅日照管理</w:t>
      </w:r>
    </w:p>
    <w:p w:rsidR="008D03E2" w:rsidRDefault="005D57EF">
      <w:pPr>
        <w:spacing w:line="576" w:lineRule="exact"/>
        <w:ind w:firstLine="640"/>
        <w:rPr>
          <w:sz w:val="32"/>
          <w:szCs w:val="32"/>
        </w:rPr>
      </w:pPr>
      <w:r>
        <w:rPr>
          <w:rFonts w:ascii="黑体" w:eastAsia="黑体" w:hint="eastAsia"/>
          <w:sz w:val="32"/>
          <w:szCs w:val="32"/>
        </w:rPr>
        <w:t xml:space="preserve">第二十三条　</w:t>
      </w:r>
      <w:r>
        <w:rPr>
          <w:rFonts w:hint="eastAsia"/>
          <w:sz w:val="32"/>
          <w:szCs w:val="32"/>
        </w:rPr>
        <w:t>住宅日照是指住宅主采光面居室的满窗日照时数。日照标准日为大寒日，有效日照时间带为上午</w:t>
      </w:r>
      <w:r>
        <w:rPr>
          <w:rFonts w:hint="eastAsia"/>
          <w:sz w:val="32"/>
          <w:szCs w:val="32"/>
        </w:rPr>
        <w:t>8</w:t>
      </w:r>
      <w:r>
        <w:rPr>
          <w:rFonts w:hint="eastAsia"/>
          <w:sz w:val="32"/>
          <w:szCs w:val="32"/>
        </w:rPr>
        <w:t>时至下午</w:t>
      </w:r>
      <w:r>
        <w:rPr>
          <w:rFonts w:hint="eastAsia"/>
          <w:sz w:val="32"/>
          <w:szCs w:val="32"/>
        </w:rPr>
        <w:t>4</w:t>
      </w:r>
      <w:r>
        <w:rPr>
          <w:rFonts w:hint="eastAsia"/>
          <w:sz w:val="32"/>
          <w:szCs w:val="32"/>
        </w:rPr>
        <w:t>时。</w:t>
      </w:r>
    </w:p>
    <w:p w:rsidR="008D03E2" w:rsidRDefault="005D57EF">
      <w:pPr>
        <w:spacing w:line="576" w:lineRule="exact"/>
        <w:ind w:firstLine="640"/>
        <w:rPr>
          <w:sz w:val="32"/>
          <w:szCs w:val="32"/>
        </w:rPr>
      </w:pPr>
      <w:r>
        <w:rPr>
          <w:rFonts w:ascii="黑体" w:eastAsia="黑体" w:hint="eastAsia"/>
          <w:sz w:val="32"/>
          <w:szCs w:val="32"/>
        </w:rPr>
        <w:t xml:space="preserve">第二十四条　</w:t>
      </w:r>
      <w:r>
        <w:rPr>
          <w:rFonts w:hint="eastAsia"/>
          <w:sz w:val="32"/>
          <w:szCs w:val="32"/>
        </w:rPr>
        <w:t>除原有住宅日照达不到</w:t>
      </w:r>
      <w:r>
        <w:rPr>
          <w:rFonts w:hint="eastAsia"/>
          <w:sz w:val="32"/>
          <w:szCs w:val="32"/>
        </w:rPr>
        <w:t>2</w:t>
      </w:r>
      <w:r>
        <w:rPr>
          <w:rFonts w:hint="eastAsia"/>
          <w:sz w:val="32"/>
          <w:szCs w:val="32"/>
        </w:rPr>
        <w:t>小时，且新建建筑对其日照不构成影响的情况外，新建建筑对周边原有住宅日照产生遮挡的，应保证被遮挡住宅日照达到不低于大寒日</w:t>
      </w:r>
      <w:r>
        <w:rPr>
          <w:rFonts w:hint="eastAsia"/>
          <w:sz w:val="32"/>
          <w:szCs w:val="32"/>
        </w:rPr>
        <w:t>2</w:t>
      </w:r>
      <w:r>
        <w:rPr>
          <w:rFonts w:hint="eastAsia"/>
          <w:sz w:val="32"/>
          <w:szCs w:val="32"/>
        </w:rPr>
        <w:t>小时。</w:t>
      </w:r>
    </w:p>
    <w:p w:rsidR="008D03E2" w:rsidRDefault="005D57EF">
      <w:pPr>
        <w:spacing w:line="576" w:lineRule="exact"/>
        <w:ind w:firstLine="640"/>
        <w:rPr>
          <w:sz w:val="32"/>
          <w:szCs w:val="32"/>
        </w:rPr>
      </w:pPr>
      <w:r>
        <w:rPr>
          <w:rFonts w:ascii="黑体" w:eastAsia="黑体" w:hint="eastAsia"/>
          <w:sz w:val="32"/>
          <w:szCs w:val="32"/>
        </w:rPr>
        <w:t xml:space="preserve">第二十五条　</w:t>
      </w:r>
      <w:r>
        <w:rPr>
          <w:rFonts w:hint="eastAsia"/>
          <w:sz w:val="32"/>
          <w:szCs w:val="32"/>
        </w:rPr>
        <w:t>新建高层住宅或高层和多层混合的住宅成组布置时，新建住宅日照应不低于大寒日</w:t>
      </w:r>
      <w:r>
        <w:rPr>
          <w:rFonts w:hint="eastAsia"/>
          <w:sz w:val="32"/>
          <w:szCs w:val="32"/>
        </w:rPr>
        <w:t>1</w:t>
      </w:r>
      <w:r>
        <w:rPr>
          <w:rFonts w:hint="eastAsia"/>
          <w:sz w:val="32"/>
          <w:szCs w:val="32"/>
        </w:rPr>
        <w:t>小时。</w:t>
      </w:r>
    </w:p>
    <w:p w:rsidR="008D03E2" w:rsidRDefault="005D57EF">
      <w:pPr>
        <w:spacing w:line="576" w:lineRule="exact"/>
        <w:ind w:firstLine="640"/>
        <w:rPr>
          <w:sz w:val="32"/>
          <w:szCs w:val="32"/>
        </w:rPr>
      </w:pPr>
      <w:r>
        <w:rPr>
          <w:rFonts w:ascii="黑体" w:eastAsia="黑体" w:hint="eastAsia"/>
          <w:sz w:val="32"/>
          <w:szCs w:val="32"/>
        </w:rPr>
        <w:t xml:space="preserve">第二十六条　</w:t>
      </w:r>
      <w:r>
        <w:rPr>
          <w:rFonts w:hint="eastAsia"/>
          <w:sz w:val="32"/>
          <w:szCs w:val="32"/>
        </w:rPr>
        <w:t>符合下列情况之一，建设单位在向城市规划行政主管部门申请办理规划审批手续时，须提供建设项目日照影响分析报告：</w:t>
      </w:r>
    </w:p>
    <w:p w:rsidR="008D03E2" w:rsidRDefault="005D57EF">
      <w:pPr>
        <w:spacing w:line="576" w:lineRule="exact"/>
        <w:ind w:firstLine="640"/>
        <w:rPr>
          <w:sz w:val="32"/>
          <w:szCs w:val="32"/>
        </w:rPr>
      </w:pPr>
      <w:r>
        <w:rPr>
          <w:rFonts w:hint="eastAsia"/>
          <w:sz w:val="32"/>
          <w:szCs w:val="32"/>
        </w:rPr>
        <w:t>（一）新建建筑周围已经有居住建筑的；</w:t>
      </w:r>
    </w:p>
    <w:p w:rsidR="008D03E2" w:rsidRDefault="005D57EF">
      <w:pPr>
        <w:spacing w:line="576" w:lineRule="exact"/>
        <w:ind w:firstLine="640"/>
        <w:rPr>
          <w:sz w:val="32"/>
          <w:szCs w:val="32"/>
        </w:rPr>
      </w:pPr>
      <w:r>
        <w:rPr>
          <w:rFonts w:hint="eastAsia"/>
          <w:sz w:val="32"/>
          <w:szCs w:val="32"/>
        </w:rPr>
        <w:t>（二）成组布置的高层住宅或高层和多层混合住宅；</w:t>
      </w:r>
    </w:p>
    <w:p w:rsidR="008D03E2" w:rsidRDefault="005D57EF">
      <w:pPr>
        <w:spacing w:line="576" w:lineRule="exact"/>
        <w:ind w:firstLine="640"/>
        <w:rPr>
          <w:sz w:val="32"/>
          <w:szCs w:val="32"/>
        </w:rPr>
      </w:pPr>
      <w:r>
        <w:rPr>
          <w:rFonts w:hint="eastAsia"/>
          <w:sz w:val="32"/>
          <w:szCs w:val="32"/>
        </w:rPr>
        <w:t>（三）建筑形体复杂的遮挡建筑。</w:t>
      </w:r>
    </w:p>
    <w:p w:rsidR="008D03E2" w:rsidRDefault="005D57EF">
      <w:pPr>
        <w:spacing w:line="576" w:lineRule="exact"/>
        <w:ind w:firstLine="640"/>
        <w:rPr>
          <w:sz w:val="32"/>
          <w:szCs w:val="32"/>
        </w:rPr>
      </w:pPr>
      <w:r>
        <w:rPr>
          <w:rFonts w:hint="eastAsia"/>
          <w:sz w:val="32"/>
          <w:szCs w:val="32"/>
        </w:rPr>
        <w:t>（四）城市规划行政</w:t>
      </w:r>
      <w:r>
        <w:rPr>
          <w:rFonts w:hint="eastAsia"/>
          <w:sz w:val="32"/>
          <w:szCs w:val="32"/>
        </w:rPr>
        <w:t>主管部门要求的其他情形。</w:t>
      </w:r>
    </w:p>
    <w:p w:rsidR="008D03E2" w:rsidRDefault="005D57EF">
      <w:pPr>
        <w:spacing w:line="576" w:lineRule="exact"/>
        <w:ind w:firstLine="640"/>
        <w:rPr>
          <w:sz w:val="32"/>
          <w:szCs w:val="32"/>
        </w:rPr>
      </w:pPr>
      <w:r>
        <w:rPr>
          <w:rFonts w:ascii="黑体" w:eastAsia="黑体" w:hint="eastAsia"/>
          <w:sz w:val="32"/>
          <w:szCs w:val="32"/>
        </w:rPr>
        <w:t xml:space="preserve">第二十七条　</w:t>
      </w:r>
      <w:r>
        <w:rPr>
          <w:rFonts w:hint="eastAsia"/>
          <w:sz w:val="32"/>
          <w:szCs w:val="32"/>
        </w:rPr>
        <w:t>日照影响分析报告必须由具备甲、乙级规划设</w:t>
      </w:r>
      <w:r>
        <w:rPr>
          <w:rFonts w:hint="eastAsia"/>
          <w:sz w:val="32"/>
          <w:szCs w:val="32"/>
        </w:rPr>
        <w:lastRenderedPageBreak/>
        <w:t>计资质或甲级建筑设计资质的设计单位完成。日照影响分析软件必须采用国家建设行政主管部门鉴定的正版软件。日照影响分析报告的内容和形式由城市规划行政主管部门确定。</w:t>
      </w:r>
    </w:p>
    <w:p w:rsidR="008D03E2" w:rsidRDefault="005D57EF">
      <w:pPr>
        <w:spacing w:line="576" w:lineRule="exact"/>
        <w:ind w:firstLine="640"/>
        <w:rPr>
          <w:sz w:val="32"/>
          <w:szCs w:val="32"/>
        </w:rPr>
      </w:pPr>
      <w:r>
        <w:rPr>
          <w:rFonts w:ascii="黑体" w:eastAsia="黑体" w:hint="eastAsia"/>
          <w:sz w:val="32"/>
          <w:szCs w:val="32"/>
        </w:rPr>
        <w:t xml:space="preserve">第二十八条　</w:t>
      </w:r>
      <w:r>
        <w:rPr>
          <w:rFonts w:hint="eastAsia"/>
          <w:sz w:val="32"/>
          <w:szCs w:val="32"/>
        </w:rPr>
        <w:t>建设单位和规划、建筑设计单位应对报送的日照影响分析报告及其他材料的真实性负责，并按照规划行政主管部门的要求提供或补充有关材料。报送材料不实，或隐瞒有关情况而产生后果的，应各自承担相应的责任。因日照影响分析报告不真实给建设单位造成损失，建设单位对规划、建筑设计单位有</w:t>
      </w:r>
      <w:r>
        <w:rPr>
          <w:rFonts w:hint="eastAsia"/>
          <w:sz w:val="32"/>
          <w:szCs w:val="32"/>
        </w:rPr>
        <w:t>追偿权。</w:t>
      </w:r>
    </w:p>
    <w:p w:rsidR="008D03E2" w:rsidRDefault="005D57EF" w:rsidP="009B097F">
      <w:pPr>
        <w:spacing w:afterLines="50" w:line="576" w:lineRule="exact"/>
        <w:ind w:firstLine="640"/>
        <w:rPr>
          <w:sz w:val="32"/>
          <w:szCs w:val="32"/>
        </w:rPr>
      </w:pPr>
      <w:r>
        <w:rPr>
          <w:rFonts w:ascii="黑体" w:eastAsia="黑体" w:hint="eastAsia"/>
          <w:sz w:val="32"/>
          <w:szCs w:val="32"/>
        </w:rPr>
        <w:t xml:space="preserve">第二十九条　</w:t>
      </w:r>
      <w:r>
        <w:rPr>
          <w:rFonts w:hint="eastAsia"/>
          <w:sz w:val="32"/>
          <w:szCs w:val="32"/>
        </w:rPr>
        <w:t>确因用地条件限制，新建建筑遮挡周边原有住宅，达不到大寒日</w:t>
      </w:r>
      <w:r>
        <w:rPr>
          <w:rFonts w:hint="eastAsia"/>
          <w:sz w:val="32"/>
          <w:szCs w:val="32"/>
        </w:rPr>
        <w:t>2</w:t>
      </w:r>
      <w:r>
        <w:rPr>
          <w:rFonts w:hint="eastAsia"/>
          <w:sz w:val="32"/>
          <w:szCs w:val="32"/>
        </w:rPr>
        <w:t>小时标准的，在办理规划审批手续前，建设单位可与被遮挡户协商按市场评估价格进行货币购买住宅或房屋换住安置；协商不成的，可按下表规定的标准给予一次性经济补偿：</w:t>
      </w:r>
    </w:p>
    <w:p w:rsidR="008D03E2" w:rsidRDefault="005D57EF">
      <w:pPr>
        <w:spacing w:line="576" w:lineRule="exact"/>
        <w:ind w:firstLine="640"/>
        <w:jc w:val="right"/>
        <w:rPr>
          <w:sz w:val="32"/>
          <w:szCs w:val="32"/>
        </w:rPr>
      </w:pPr>
      <w:r>
        <w:rPr>
          <w:rFonts w:hint="eastAsia"/>
          <w:sz w:val="32"/>
          <w:szCs w:val="32"/>
        </w:rPr>
        <w:t>单位：元</w:t>
      </w:r>
      <w:r>
        <w:rPr>
          <w:rFonts w:hint="eastAsia"/>
          <w:sz w:val="32"/>
          <w:szCs w:val="32"/>
        </w:rPr>
        <w:t>/m</w:t>
      </w:r>
      <w:r>
        <w:rPr>
          <w:rFonts w:hint="eastAsia"/>
          <w:sz w:val="32"/>
          <w:szCs w:val="32"/>
          <w:vertAlign w:val="superscript"/>
        </w:rPr>
        <w:t>2</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474"/>
        <w:gridCol w:w="1474"/>
        <w:gridCol w:w="1474"/>
        <w:gridCol w:w="1474"/>
      </w:tblGrid>
      <w:tr w:rsidR="008D03E2">
        <w:trPr>
          <w:trHeight w:val="1564"/>
          <w:jc w:val="center"/>
        </w:trPr>
        <w:tc>
          <w:tcPr>
            <w:tcW w:w="2835" w:type="dxa"/>
          </w:tcPr>
          <w:p w:rsidR="008D03E2" w:rsidRDefault="008D03E2">
            <w:pPr>
              <w:spacing w:line="500" w:lineRule="exact"/>
              <w:ind w:firstLineChars="450" w:firstLine="1440"/>
              <w:rPr>
                <w:sz w:val="28"/>
                <w:szCs w:val="28"/>
              </w:rPr>
            </w:pPr>
            <w:r w:rsidRPr="008D03E2">
              <w:rPr>
                <w:rFonts w:ascii="黑体" w:eastAsia="黑体"/>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7.4pt;margin-top:-.85pt;width:143.4pt;height:40.4pt;z-index:251658240;mso-width-relative:margin" o:connectortype="straight" strokeweight=".5pt"/>
              </w:pict>
            </w:r>
            <w:r w:rsidRPr="008D03E2">
              <w:rPr>
                <w:rFonts w:ascii="黑体" w:eastAsia="黑体"/>
                <w:sz w:val="32"/>
                <w:szCs w:val="32"/>
              </w:rPr>
              <w:pict>
                <v:shape id="_x0000_s2051" type="#_x0000_t32" style="position:absolute;left:0;text-align:left;margin-left:-7.4pt;margin-top:-.85pt;width:88.4pt;height:79.1pt;z-index:251659264;mso-width-relative:margin" o:connectortype="straight" strokeweight=".5pt"/>
              </w:pict>
            </w:r>
            <w:r w:rsidR="005D57EF">
              <w:rPr>
                <w:rFonts w:hint="eastAsia"/>
                <w:sz w:val="28"/>
                <w:szCs w:val="28"/>
              </w:rPr>
              <w:t>遮挡时间</w:t>
            </w:r>
          </w:p>
          <w:p w:rsidR="008D03E2" w:rsidRDefault="005D57EF" w:rsidP="009B097F">
            <w:pPr>
              <w:spacing w:line="500" w:lineRule="exact"/>
              <w:ind w:firstLineChars="366" w:firstLine="1025"/>
              <w:rPr>
                <w:sz w:val="28"/>
                <w:szCs w:val="28"/>
              </w:rPr>
            </w:pPr>
            <w:r>
              <w:rPr>
                <w:rFonts w:hint="eastAsia"/>
                <w:sz w:val="28"/>
                <w:szCs w:val="28"/>
              </w:rPr>
              <w:t>补偿标准</w:t>
            </w:r>
          </w:p>
          <w:p w:rsidR="008D03E2" w:rsidRDefault="005D57EF" w:rsidP="009B097F">
            <w:pPr>
              <w:spacing w:line="500" w:lineRule="exact"/>
              <w:ind w:firstLine="560"/>
              <w:rPr>
                <w:sz w:val="28"/>
                <w:szCs w:val="28"/>
              </w:rPr>
            </w:pPr>
            <w:r>
              <w:rPr>
                <w:rFonts w:hint="eastAsia"/>
                <w:sz w:val="28"/>
                <w:szCs w:val="28"/>
              </w:rPr>
              <w:t>区域级别</w:t>
            </w:r>
          </w:p>
        </w:tc>
        <w:tc>
          <w:tcPr>
            <w:tcW w:w="1474" w:type="dxa"/>
            <w:vAlign w:val="center"/>
          </w:tcPr>
          <w:p w:rsidR="008D03E2" w:rsidRDefault="005D57EF" w:rsidP="009B097F">
            <w:pPr>
              <w:ind w:firstLine="560"/>
              <w:jc w:val="center"/>
              <w:rPr>
                <w:sz w:val="28"/>
                <w:szCs w:val="28"/>
              </w:rPr>
            </w:pPr>
            <w:r>
              <w:rPr>
                <w:rFonts w:hint="eastAsia"/>
                <w:sz w:val="28"/>
                <w:szCs w:val="28"/>
              </w:rPr>
              <w:t>小于</w:t>
            </w:r>
          </w:p>
          <w:p w:rsidR="008D03E2" w:rsidRDefault="005D57EF" w:rsidP="009B097F">
            <w:pPr>
              <w:ind w:firstLine="560"/>
              <w:jc w:val="center"/>
              <w:rPr>
                <w:sz w:val="28"/>
                <w:szCs w:val="28"/>
              </w:rPr>
            </w:pPr>
            <w:r>
              <w:rPr>
                <w:rFonts w:hint="eastAsia"/>
                <w:sz w:val="28"/>
                <w:szCs w:val="28"/>
              </w:rPr>
              <w:t>30</w:t>
            </w:r>
            <w:r>
              <w:rPr>
                <w:rFonts w:hint="eastAsia"/>
                <w:sz w:val="28"/>
                <w:szCs w:val="28"/>
              </w:rPr>
              <w:t>分钟</w:t>
            </w:r>
          </w:p>
        </w:tc>
        <w:tc>
          <w:tcPr>
            <w:tcW w:w="1474" w:type="dxa"/>
            <w:vAlign w:val="center"/>
          </w:tcPr>
          <w:p w:rsidR="008D03E2" w:rsidRDefault="005D57EF" w:rsidP="009B097F">
            <w:pPr>
              <w:ind w:firstLine="560"/>
              <w:jc w:val="center"/>
              <w:rPr>
                <w:sz w:val="28"/>
                <w:szCs w:val="28"/>
              </w:rPr>
            </w:pPr>
            <w:r>
              <w:rPr>
                <w:rFonts w:hint="eastAsia"/>
                <w:sz w:val="28"/>
                <w:szCs w:val="28"/>
              </w:rPr>
              <w:t>31-60</w:t>
            </w:r>
          </w:p>
          <w:p w:rsidR="008D03E2" w:rsidRDefault="005D57EF" w:rsidP="009B097F">
            <w:pPr>
              <w:ind w:firstLine="560"/>
              <w:jc w:val="center"/>
              <w:rPr>
                <w:sz w:val="28"/>
                <w:szCs w:val="28"/>
              </w:rPr>
            </w:pPr>
            <w:r>
              <w:rPr>
                <w:rFonts w:hint="eastAsia"/>
                <w:sz w:val="28"/>
                <w:szCs w:val="28"/>
              </w:rPr>
              <w:t>分钟</w:t>
            </w:r>
          </w:p>
        </w:tc>
        <w:tc>
          <w:tcPr>
            <w:tcW w:w="1474" w:type="dxa"/>
            <w:vAlign w:val="center"/>
          </w:tcPr>
          <w:p w:rsidR="008D03E2" w:rsidRDefault="005D57EF" w:rsidP="009B097F">
            <w:pPr>
              <w:ind w:firstLine="560"/>
              <w:jc w:val="center"/>
              <w:rPr>
                <w:sz w:val="28"/>
                <w:szCs w:val="28"/>
              </w:rPr>
            </w:pPr>
            <w:r>
              <w:rPr>
                <w:rFonts w:hint="eastAsia"/>
                <w:sz w:val="28"/>
                <w:szCs w:val="28"/>
              </w:rPr>
              <w:t>61-90</w:t>
            </w:r>
          </w:p>
          <w:p w:rsidR="008D03E2" w:rsidRDefault="005D57EF" w:rsidP="009B097F">
            <w:pPr>
              <w:ind w:firstLine="560"/>
              <w:jc w:val="center"/>
              <w:rPr>
                <w:sz w:val="28"/>
                <w:szCs w:val="28"/>
              </w:rPr>
            </w:pPr>
            <w:r>
              <w:rPr>
                <w:rFonts w:hint="eastAsia"/>
                <w:sz w:val="28"/>
                <w:szCs w:val="28"/>
              </w:rPr>
              <w:t>分钟</w:t>
            </w:r>
          </w:p>
        </w:tc>
        <w:tc>
          <w:tcPr>
            <w:tcW w:w="1474" w:type="dxa"/>
            <w:vAlign w:val="center"/>
          </w:tcPr>
          <w:p w:rsidR="008D03E2" w:rsidRDefault="005D57EF" w:rsidP="009B097F">
            <w:pPr>
              <w:ind w:firstLine="560"/>
              <w:jc w:val="center"/>
              <w:rPr>
                <w:sz w:val="28"/>
                <w:szCs w:val="28"/>
              </w:rPr>
            </w:pPr>
            <w:r>
              <w:rPr>
                <w:rFonts w:hint="eastAsia"/>
                <w:sz w:val="28"/>
                <w:szCs w:val="28"/>
              </w:rPr>
              <w:t>91-120</w:t>
            </w:r>
          </w:p>
          <w:p w:rsidR="008D03E2" w:rsidRDefault="005D57EF" w:rsidP="009B097F">
            <w:pPr>
              <w:ind w:firstLine="560"/>
              <w:jc w:val="center"/>
              <w:rPr>
                <w:sz w:val="28"/>
                <w:szCs w:val="28"/>
              </w:rPr>
            </w:pPr>
            <w:r>
              <w:rPr>
                <w:rFonts w:hint="eastAsia"/>
                <w:sz w:val="28"/>
                <w:szCs w:val="28"/>
              </w:rPr>
              <w:t>分钟</w:t>
            </w:r>
          </w:p>
        </w:tc>
      </w:tr>
      <w:tr w:rsidR="008D03E2">
        <w:trPr>
          <w:trHeight w:val="340"/>
          <w:jc w:val="center"/>
        </w:trPr>
        <w:tc>
          <w:tcPr>
            <w:tcW w:w="2835" w:type="dxa"/>
            <w:vAlign w:val="center"/>
          </w:tcPr>
          <w:p w:rsidR="008D03E2" w:rsidRDefault="005D57EF" w:rsidP="009B097F">
            <w:pPr>
              <w:ind w:firstLine="560"/>
              <w:jc w:val="center"/>
              <w:rPr>
                <w:sz w:val="28"/>
                <w:szCs w:val="28"/>
              </w:rPr>
            </w:pPr>
            <w:r>
              <w:rPr>
                <w:rFonts w:hint="eastAsia"/>
                <w:sz w:val="28"/>
                <w:szCs w:val="28"/>
              </w:rPr>
              <w:t>一级</w:t>
            </w:r>
          </w:p>
        </w:tc>
        <w:tc>
          <w:tcPr>
            <w:tcW w:w="1474" w:type="dxa"/>
            <w:vAlign w:val="center"/>
          </w:tcPr>
          <w:p w:rsidR="008D03E2" w:rsidRDefault="005D57EF" w:rsidP="009B097F">
            <w:pPr>
              <w:ind w:firstLine="560"/>
              <w:jc w:val="center"/>
              <w:rPr>
                <w:sz w:val="28"/>
                <w:szCs w:val="28"/>
              </w:rPr>
            </w:pPr>
            <w:r>
              <w:rPr>
                <w:rFonts w:hint="eastAsia"/>
                <w:sz w:val="28"/>
                <w:szCs w:val="28"/>
              </w:rPr>
              <w:t>500</w:t>
            </w:r>
          </w:p>
        </w:tc>
        <w:tc>
          <w:tcPr>
            <w:tcW w:w="1474" w:type="dxa"/>
            <w:vAlign w:val="center"/>
          </w:tcPr>
          <w:p w:rsidR="008D03E2" w:rsidRDefault="005D57EF" w:rsidP="009B097F">
            <w:pPr>
              <w:ind w:firstLine="560"/>
              <w:jc w:val="center"/>
              <w:rPr>
                <w:sz w:val="28"/>
                <w:szCs w:val="28"/>
              </w:rPr>
            </w:pPr>
            <w:r>
              <w:rPr>
                <w:rFonts w:hint="eastAsia"/>
                <w:sz w:val="28"/>
                <w:szCs w:val="28"/>
              </w:rPr>
              <w:t>560</w:t>
            </w:r>
          </w:p>
        </w:tc>
        <w:tc>
          <w:tcPr>
            <w:tcW w:w="1474" w:type="dxa"/>
            <w:vAlign w:val="center"/>
          </w:tcPr>
          <w:p w:rsidR="008D03E2" w:rsidRDefault="005D57EF" w:rsidP="009B097F">
            <w:pPr>
              <w:ind w:firstLine="560"/>
              <w:jc w:val="center"/>
              <w:rPr>
                <w:sz w:val="28"/>
                <w:szCs w:val="28"/>
              </w:rPr>
            </w:pPr>
            <w:r>
              <w:rPr>
                <w:rFonts w:hint="eastAsia"/>
                <w:sz w:val="28"/>
                <w:szCs w:val="28"/>
              </w:rPr>
              <w:t>630</w:t>
            </w:r>
          </w:p>
        </w:tc>
        <w:tc>
          <w:tcPr>
            <w:tcW w:w="1474" w:type="dxa"/>
            <w:vAlign w:val="center"/>
          </w:tcPr>
          <w:p w:rsidR="008D03E2" w:rsidRDefault="005D57EF" w:rsidP="009B097F">
            <w:pPr>
              <w:ind w:firstLine="560"/>
              <w:jc w:val="center"/>
              <w:rPr>
                <w:sz w:val="28"/>
                <w:szCs w:val="28"/>
              </w:rPr>
            </w:pPr>
            <w:r>
              <w:rPr>
                <w:rFonts w:hint="eastAsia"/>
                <w:sz w:val="28"/>
                <w:szCs w:val="28"/>
              </w:rPr>
              <w:t>700</w:t>
            </w:r>
          </w:p>
        </w:tc>
      </w:tr>
      <w:tr w:rsidR="008D03E2">
        <w:trPr>
          <w:trHeight w:val="340"/>
          <w:jc w:val="center"/>
        </w:trPr>
        <w:tc>
          <w:tcPr>
            <w:tcW w:w="2835" w:type="dxa"/>
            <w:vAlign w:val="center"/>
          </w:tcPr>
          <w:p w:rsidR="008D03E2" w:rsidRDefault="005D57EF" w:rsidP="009B097F">
            <w:pPr>
              <w:ind w:firstLine="560"/>
              <w:jc w:val="center"/>
              <w:rPr>
                <w:sz w:val="28"/>
                <w:szCs w:val="28"/>
              </w:rPr>
            </w:pPr>
            <w:r>
              <w:rPr>
                <w:rFonts w:hint="eastAsia"/>
                <w:sz w:val="28"/>
                <w:szCs w:val="28"/>
              </w:rPr>
              <w:t>二级</w:t>
            </w:r>
          </w:p>
        </w:tc>
        <w:tc>
          <w:tcPr>
            <w:tcW w:w="1474" w:type="dxa"/>
            <w:vAlign w:val="center"/>
          </w:tcPr>
          <w:p w:rsidR="008D03E2" w:rsidRDefault="005D57EF" w:rsidP="009B097F">
            <w:pPr>
              <w:ind w:firstLine="560"/>
              <w:jc w:val="center"/>
              <w:rPr>
                <w:sz w:val="28"/>
                <w:szCs w:val="28"/>
              </w:rPr>
            </w:pPr>
            <w:r>
              <w:rPr>
                <w:rFonts w:hint="eastAsia"/>
                <w:sz w:val="28"/>
                <w:szCs w:val="28"/>
              </w:rPr>
              <w:t>430</w:t>
            </w:r>
          </w:p>
        </w:tc>
        <w:tc>
          <w:tcPr>
            <w:tcW w:w="1474" w:type="dxa"/>
            <w:vAlign w:val="center"/>
          </w:tcPr>
          <w:p w:rsidR="008D03E2" w:rsidRDefault="005D57EF" w:rsidP="009B097F">
            <w:pPr>
              <w:ind w:firstLine="560"/>
              <w:jc w:val="center"/>
              <w:rPr>
                <w:sz w:val="28"/>
                <w:szCs w:val="28"/>
              </w:rPr>
            </w:pPr>
            <w:r>
              <w:rPr>
                <w:rFonts w:hint="eastAsia"/>
                <w:sz w:val="28"/>
                <w:szCs w:val="28"/>
              </w:rPr>
              <w:t>490</w:t>
            </w:r>
          </w:p>
        </w:tc>
        <w:tc>
          <w:tcPr>
            <w:tcW w:w="1474" w:type="dxa"/>
            <w:vAlign w:val="center"/>
          </w:tcPr>
          <w:p w:rsidR="008D03E2" w:rsidRDefault="005D57EF" w:rsidP="009B097F">
            <w:pPr>
              <w:ind w:firstLine="560"/>
              <w:jc w:val="center"/>
              <w:rPr>
                <w:sz w:val="28"/>
                <w:szCs w:val="28"/>
              </w:rPr>
            </w:pPr>
            <w:r>
              <w:rPr>
                <w:rFonts w:hint="eastAsia"/>
                <w:sz w:val="28"/>
                <w:szCs w:val="28"/>
              </w:rPr>
              <w:t>550</w:t>
            </w:r>
          </w:p>
        </w:tc>
        <w:tc>
          <w:tcPr>
            <w:tcW w:w="1474" w:type="dxa"/>
            <w:vAlign w:val="center"/>
          </w:tcPr>
          <w:p w:rsidR="008D03E2" w:rsidRDefault="005D57EF" w:rsidP="009B097F">
            <w:pPr>
              <w:ind w:firstLine="560"/>
              <w:jc w:val="center"/>
              <w:rPr>
                <w:sz w:val="28"/>
                <w:szCs w:val="28"/>
              </w:rPr>
            </w:pPr>
            <w:r>
              <w:rPr>
                <w:rFonts w:hint="eastAsia"/>
                <w:sz w:val="28"/>
                <w:szCs w:val="28"/>
              </w:rPr>
              <w:t>610</w:t>
            </w:r>
          </w:p>
        </w:tc>
      </w:tr>
      <w:tr w:rsidR="008D03E2">
        <w:trPr>
          <w:trHeight w:val="340"/>
          <w:jc w:val="center"/>
        </w:trPr>
        <w:tc>
          <w:tcPr>
            <w:tcW w:w="2835" w:type="dxa"/>
            <w:vAlign w:val="center"/>
          </w:tcPr>
          <w:p w:rsidR="008D03E2" w:rsidRDefault="005D57EF" w:rsidP="009B097F">
            <w:pPr>
              <w:ind w:firstLine="560"/>
              <w:jc w:val="center"/>
              <w:rPr>
                <w:sz w:val="28"/>
                <w:szCs w:val="28"/>
              </w:rPr>
            </w:pPr>
            <w:r>
              <w:rPr>
                <w:rFonts w:hint="eastAsia"/>
                <w:sz w:val="28"/>
                <w:szCs w:val="28"/>
              </w:rPr>
              <w:t>三级</w:t>
            </w:r>
          </w:p>
        </w:tc>
        <w:tc>
          <w:tcPr>
            <w:tcW w:w="1474" w:type="dxa"/>
            <w:vAlign w:val="center"/>
          </w:tcPr>
          <w:p w:rsidR="008D03E2" w:rsidRDefault="005D57EF" w:rsidP="009B097F">
            <w:pPr>
              <w:ind w:firstLine="560"/>
              <w:jc w:val="center"/>
              <w:rPr>
                <w:sz w:val="28"/>
                <w:szCs w:val="28"/>
              </w:rPr>
            </w:pPr>
            <w:r>
              <w:rPr>
                <w:rFonts w:hint="eastAsia"/>
                <w:sz w:val="28"/>
                <w:szCs w:val="28"/>
              </w:rPr>
              <w:t>400</w:t>
            </w:r>
          </w:p>
        </w:tc>
        <w:tc>
          <w:tcPr>
            <w:tcW w:w="1474" w:type="dxa"/>
            <w:vAlign w:val="center"/>
          </w:tcPr>
          <w:p w:rsidR="008D03E2" w:rsidRDefault="005D57EF" w:rsidP="009B097F">
            <w:pPr>
              <w:ind w:firstLine="560"/>
              <w:jc w:val="center"/>
              <w:rPr>
                <w:sz w:val="28"/>
                <w:szCs w:val="28"/>
              </w:rPr>
            </w:pPr>
            <w:r>
              <w:rPr>
                <w:rFonts w:hint="eastAsia"/>
                <w:sz w:val="28"/>
                <w:szCs w:val="28"/>
              </w:rPr>
              <w:t>450</w:t>
            </w:r>
          </w:p>
        </w:tc>
        <w:tc>
          <w:tcPr>
            <w:tcW w:w="1474" w:type="dxa"/>
            <w:vAlign w:val="center"/>
          </w:tcPr>
          <w:p w:rsidR="008D03E2" w:rsidRDefault="005D57EF" w:rsidP="009B097F">
            <w:pPr>
              <w:ind w:firstLine="560"/>
              <w:jc w:val="center"/>
              <w:rPr>
                <w:sz w:val="28"/>
                <w:szCs w:val="28"/>
              </w:rPr>
            </w:pPr>
            <w:r>
              <w:rPr>
                <w:rFonts w:hint="eastAsia"/>
                <w:sz w:val="28"/>
                <w:szCs w:val="28"/>
              </w:rPr>
              <w:t>500</w:t>
            </w:r>
          </w:p>
        </w:tc>
        <w:tc>
          <w:tcPr>
            <w:tcW w:w="1474" w:type="dxa"/>
            <w:vAlign w:val="center"/>
          </w:tcPr>
          <w:p w:rsidR="008D03E2" w:rsidRDefault="005D57EF" w:rsidP="009B097F">
            <w:pPr>
              <w:ind w:firstLine="560"/>
              <w:jc w:val="center"/>
              <w:rPr>
                <w:sz w:val="28"/>
                <w:szCs w:val="28"/>
              </w:rPr>
            </w:pPr>
            <w:r>
              <w:rPr>
                <w:rFonts w:hint="eastAsia"/>
                <w:sz w:val="28"/>
                <w:szCs w:val="28"/>
              </w:rPr>
              <w:t>560</w:t>
            </w:r>
          </w:p>
        </w:tc>
      </w:tr>
      <w:tr w:rsidR="008D03E2">
        <w:trPr>
          <w:trHeight w:val="340"/>
          <w:jc w:val="center"/>
        </w:trPr>
        <w:tc>
          <w:tcPr>
            <w:tcW w:w="2835" w:type="dxa"/>
            <w:vAlign w:val="center"/>
          </w:tcPr>
          <w:p w:rsidR="008D03E2" w:rsidRDefault="005D57EF" w:rsidP="009B097F">
            <w:pPr>
              <w:ind w:firstLine="560"/>
              <w:jc w:val="center"/>
              <w:rPr>
                <w:sz w:val="28"/>
                <w:szCs w:val="28"/>
              </w:rPr>
            </w:pPr>
            <w:r>
              <w:rPr>
                <w:rFonts w:hint="eastAsia"/>
                <w:sz w:val="28"/>
                <w:szCs w:val="28"/>
              </w:rPr>
              <w:t>四级</w:t>
            </w:r>
          </w:p>
        </w:tc>
        <w:tc>
          <w:tcPr>
            <w:tcW w:w="1474" w:type="dxa"/>
            <w:vAlign w:val="center"/>
          </w:tcPr>
          <w:p w:rsidR="008D03E2" w:rsidRDefault="005D57EF" w:rsidP="009B097F">
            <w:pPr>
              <w:ind w:firstLine="560"/>
              <w:jc w:val="center"/>
              <w:rPr>
                <w:sz w:val="28"/>
                <w:szCs w:val="28"/>
              </w:rPr>
            </w:pPr>
            <w:r>
              <w:rPr>
                <w:rFonts w:hint="eastAsia"/>
                <w:sz w:val="28"/>
                <w:szCs w:val="28"/>
              </w:rPr>
              <w:t>350</w:t>
            </w:r>
          </w:p>
        </w:tc>
        <w:tc>
          <w:tcPr>
            <w:tcW w:w="1474" w:type="dxa"/>
            <w:vAlign w:val="center"/>
          </w:tcPr>
          <w:p w:rsidR="008D03E2" w:rsidRDefault="005D57EF" w:rsidP="009B097F">
            <w:pPr>
              <w:ind w:firstLine="560"/>
              <w:jc w:val="center"/>
              <w:rPr>
                <w:sz w:val="28"/>
                <w:szCs w:val="28"/>
              </w:rPr>
            </w:pPr>
            <w:r>
              <w:rPr>
                <w:rFonts w:hint="eastAsia"/>
                <w:sz w:val="28"/>
                <w:szCs w:val="28"/>
              </w:rPr>
              <w:t>400</w:t>
            </w:r>
          </w:p>
        </w:tc>
        <w:tc>
          <w:tcPr>
            <w:tcW w:w="1474" w:type="dxa"/>
            <w:vAlign w:val="center"/>
          </w:tcPr>
          <w:p w:rsidR="008D03E2" w:rsidRDefault="005D57EF" w:rsidP="009B097F">
            <w:pPr>
              <w:ind w:firstLine="560"/>
              <w:jc w:val="center"/>
              <w:rPr>
                <w:sz w:val="28"/>
                <w:szCs w:val="28"/>
              </w:rPr>
            </w:pPr>
            <w:r>
              <w:rPr>
                <w:rFonts w:hint="eastAsia"/>
                <w:sz w:val="28"/>
                <w:szCs w:val="28"/>
              </w:rPr>
              <w:t>440</w:t>
            </w:r>
          </w:p>
        </w:tc>
        <w:tc>
          <w:tcPr>
            <w:tcW w:w="1474" w:type="dxa"/>
            <w:vAlign w:val="center"/>
          </w:tcPr>
          <w:p w:rsidR="008D03E2" w:rsidRDefault="005D57EF" w:rsidP="009B097F">
            <w:pPr>
              <w:ind w:firstLine="560"/>
              <w:jc w:val="center"/>
              <w:rPr>
                <w:sz w:val="28"/>
                <w:szCs w:val="28"/>
              </w:rPr>
            </w:pPr>
            <w:r>
              <w:rPr>
                <w:rFonts w:hint="eastAsia"/>
                <w:sz w:val="28"/>
                <w:szCs w:val="28"/>
              </w:rPr>
              <w:t>500</w:t>
            </w:r>
          </w:p>
        </w:tc>
      </w:tr>
      <w:tr w:rsidR="008D03E2">
        <w:trPr>
          <w:trHeight w:val="340"/>
          <w:jc w:val="center"/>
        </w:trPr>
        <w:tc>
          <w:tcPr>
            <w:tcW w:w="2835" w:type="dxa"/>
            <w:vAlign w:val="center"/>
          </w:tcPr>
          <w:p w:rsidR="008D03E2" w:rsidRDefault="005D57EF" w:rsidP="009B097F">
            <w:pPr>
              <w:ind w:firstLine="560"/>
              <w:jc w:val="center"/>
              <w:rPr>
                <w:sz w:val="28"/>
                <w:szCs w:val="28"/>
              </w:rPr>
            </w:pPr>
            <w:r>
              <w:rPr>
                <w:rFonts w:hint="eastAsia"/>
                <w:sz w:val="28"/>
                <w:szCs w:val="28"/>
              </w:rPr>
              <w:lastRenderedPageBreak/>
              <w:t>五级</w:t>
            </w:r>
          </w:p>
        </w:tc>
        <w:tc>
          <w:tcPr>
            <w:tcW w:w="1474" w:type="dxa"/>
            <w:vAlign w:val="center"/>
          </w:tcPr>
          <w:p w:rsidR="008D03E2" w:rsidRDefault="005D57EF" w:rsidP="009B097F">
            <w:pPr>
              <w:ind w:firstLine="560"/>
              <w:jc w:val="center"/>
              <w:rPr>
                <w:sz w:val="28"/>
                <w:szCs w:val="28"/>
              </w:rPr>
            </w:pPr>
            <w:r>
              <w:rPr>
                <w:rFonts w:hint="eastAsia"/>
                <w:sz w:val="28"/>
                <w:szCs w:val="28"/>
              </w:rPr>
              <w:t>300</w:t>
            </w:r>
          </w:p>
        </w:tc>
        <w:tc>
          <w:tcPr>
            <w:tcW w:w="1474" w:type="dxa"/>
            <w:vAlign w:val="center"/>
          </w:tcPr>
          <w:p w:rsidR="008D03E2" w:rsidRDefault="005D57EF" w:rsidP="009B097F">
            <w:pPr>
              <w:ind w:firstLine="560"/>
              <w:jc w:val="center"/>
              <w:rPr>
                <w:sz w:val="28"/>
                <w:szCs w:val="28"/>
              </w:rPr>
            </w:pPr>
            <w:r>
              <w:rPr>
                <w:rFonts w:hint="eastAsia"/>
                <w:sz w:val="28"/>
                <w:szCs w:val="28"/>
              </w:rPr>
              <w:t>340</w:t>
            </w:r>
          </w:p>
        </w:tc>
        <w:tc>
          <w:tcPr>
            <w:tcW w:w="1474" w:type="dxa"/>
            <w:vAlign w:val="center"/>
          </w:tcPr>
          <w:p w:rsidR="008D03E2" w:rsidRDefault="005D57EF" w:rsidP="009B097F">
            <w:pPr>
              <w:ind w:firstLine="560"/>
              <w:jc w:val="center"/>
              <w:rPr>
                <w:sz w:val="28"/>
                <w:szCs w:val="28"/>
              </w:rPr>
            </w:pPr>
            <w:r>
              <w:rPr>
                <w:rFonts w:hint="eastAsia"/>
                <w:sz w:val="28"/>
                <w:szCs w:val="28"/>
              </w:rPr>
              <w:t>380</w:t>
            </w:r>
          </w:p>
        </w:tc>
        <w:tc>
          <w:tcPr>
            <w:tcW w:w="1474" w:type="dxa"/>
            <w:vAlign w:val="center"/>
          </w:tcPr>
          <w:p w:rsidR="008D03E2" w:rsidRDefault="005D57EF" w:rsidP="009B097F">
            <w:pPr>
              <w:ind w:firstLine="560"/>
              <w:jc w:val="center"/>
              <w:rPr>
                <w:sz w:val="28"/>
                <w:szCs w:val="28"/>
              </w:rPr>
            </w:pPr>
            <w:r>
              <w:rPr>
                <w:rFonts w:hint="eastAsia"/>
                <w:sz w:val="28"/>
                <w:szCs w:val="28"/>
              </w:rPr>
              <w:t>420</w:t>
            </w:r>
          </w:p>
        </w:tc>
      </w:tr>
      <w:tr w:rsidR="008D03E2">
        <w:trPr>
          <w:trHeight w:val="340"/>
          <w:jc w:val="center"/>
        </w:trPr>
        <w:tc>
          <w:tcPr>
            <w:tcW w:w="2835" w:type="dxa"/>
            <w:vAlign w:val="center"/>
          </w:tcPr>
          <w:p w:rsidR="008D03E2" w:rsidRDefault="005D57EF" w:rsidP="009B097F">
            <w:pPr>
              <w:ind w:firstLine="560"/>
              <w:jc w:val="center"/>
              <w:rPr>
                <w:sz w:val="28"/>
                <w:szCs w:val="28"/>
              </w:rPr>
            </w:pPr>
            <w:r>
              <w:rPr>
                <w:rFonts w:hint="eastAsia"/>
                <w:sz w:val="28"/>
                <w:szCs w:val="28"/>
              </w:rPr>
              <w:t>六级</w:t>
            </w:r>
          </w:p>
        </w:tc>
        <w:tc>
          <w:tcPr>
            <w:tcW w:w="1474" w:type="dxa"/>
            <w:vAlign w:val="center"/>
          </w:tcPr>
          <w:p w:rsidR="008D03E2" w:rsidRDefault="005D57EF" w:rsidP="009B097F">
            <w:pPr>
              <w:ind w:firstLine="560"/>
              <w:jc w:val="center"/>
              <w:rPr>
                <w:sz w:val="28"/>
                <w:szCs w:val="28"/>
              </w:rPr>
            </w:pPr>
            <w:r>
              <w:rPr>
                <w:rFonts w:hint="eastAsia"/>
                <w:sz w:val="28"/>
                <w:szCs w:val="28"/>
              </w:rPr>
              <w:t>260</w:t>
            </w:r>
          </w:p>
        </w:tc>
        <w:tc>
          <w:tcPr>
            <w:tcW w:w="1474" w:type="dxa"/>
            <w:vAlign w:val="center"/>
          </w:tcPr>
          <w:p w:rsidR="008D03E2" w:rsidRDefault="005D57EF" w:rsidP="009B097F">
            <w:pPr>
              <w:ind w:firstLine="560"/>
              <w:jc w:val="center"/>
              <w:rPr>
                <w:sz w:val="28"/>
                <w:szCs w:val="28"/>
              </w:rPr>
            </w:pPr>
            <w:r>
              <w:rPr>
                <w:rFonts w:hint="eastAsia"/>
                <w:sz w:val="28"/>
                <w:szCs w:val="28"/>
              </w:rPr>
              <w:t>300</w:t>
            </w:r>
          </w:p>
        </w:tc>
        <w:tc>
          <w:tcPr>
            <w:tcW w:w="1474" w:type="dxa"/>
            <w:vAlign w:val="center"/>
          </w:tcPr>
          <w:p w:rsidR="008D03E2" w:rsidRDefault="005D57EF" w:rsidP="009B097F">
            <w:pPr>
              <w:ind w:firstLine="560"/>
              <w:jc w:val="center"/>
              <w:rPr>
                <w:sz w:val="28"/>
                <w:szCs w:val="28"/>
              </w:rPr>
            </w:pPr>
            <w:r>
              <w:rPr>
                <w:rFonts w:hint="eastAsia"/>
                <w:sz w:val="28"/>
                <w:szCs w:val="28"/>
              </w:rPr>
              <w:t>330</w:t>
            </w:r>
          </w:p>
        </w:tc>
        <w:tc>
          <w:tcPr>
            <w:tcW w:w="1474" w:type="dxa"/>
            <w:vAlign w:val="center"/>
          </w:tcPr>
          <w:p w:rsidR="008D03E2" w:rsidRDefault="005D57EF" w:rsidP="009B097F">
            <w:pPr>
              <w:ind w:firstLine="560"/>
              <w:jc w:val="center"/>
              <w:rPr>
                <w:sz w:val="28"/>
                <w:szCs w:val="28"/>
              </w:rPr>
            </w:pPr>
            <w:r>
              <w:rPr>
                <w:rFonts w:hint="eastAsia"/>
                <w:sz w:val="28"/>
                <w:szCs w:val="28"/>
              </w:rPr>
              <w:t>370</w:t>
            </w:r>
          </w:p>
        </w:tc>
      </w:tr>
    </w:tbl>
    <w:p w:rsidR="008D03E2" w:rsidRDefault="005D57EF">
      <w:pPr>
        <w:spacing w:line="576" w:lineRule="exact"/>
        <w:ind w:firstLine="640"/>
        <w:rPr>
          <w:sz w:val="32"/>
          <w:szCs w:val="32"/>
        </w:rPr>
      </w:pPr>
      <w:r>
        <w:rPr>
          <w:rFonts w:ascii="黑体" w:eastAsia="黑体" w:hint="eastAsia"/>
          <w:sz w:val="32"/>
          <w:szCs w:val="32"/>
        </w:rPr>
        <w:t xml:space="preserve">第三十条　</w:t>
      </w:r>
      <w:r>
        <w:rPr>
          <w:rFonts w:hint="eastAsia"/>
          <w:sz w:val="32"/>
          <w:szCs w:val="32"/>
        </w:rPr>
        <w:t>因新建建筑影响周边住宅日照并引发群众上访的，建设单位应积极配合解决上访群众的合理诉求。</w:t>
      </w:r>
    </w:p>
    <w:p w:rsidR="008D03E2" w:rsidRDefault="005D57EF">
      <w:pPr>
        <w:spacing w:line="576" w:lineRule="exact"/>
        <w:ind w:firstLine="640"/>
        <w:rPr>
          <w:sz w:val="32"/>
          <w:szCs w:val="32"/>
        </w:rPr>
      </w:pPr>
      <w:r>
        <w:rPr>
          <w:rFonts w:hint="eastAsia"/>
          <w:sz w:val="32"/>
          <w:szCs w:val="32"/>
        </w:rPr>
        <w:t>对无理阻碍办公和生产秩序，辱骂、殴打工作人员的行为，由公安机关依照《中华人民共和国治安管理处罚法》的规定处罚；情节严重，构成犯罪的，由司法机关依法追究刑事责任。</w:t>
      </w:r>
    </w:p>
    <w:p w:rsidR="008D03E2" w:rsidRDefault="005D57EF">
      <w:pPr>
        <w:spacing w:line="576" w:lineRule="exact"/>
        <w:ind w:firstLine="640"/>
        <w:rPr>
          <w:sz w:val="32"/>
          <w:szCs w:val="32"/>
        </w:rPr>
      </w:pPr>
      <w:r>
        <w:rPr>
          <w:rFonts w:ascii="黑体" w:eastAsia="黑体" w:hint="eastAsia"/>
          <w:sz w:val="32"/>
          <w:szCs w:val="32"/>
        </w:rPr>
        <w:t xml:space="preserve">第三十一条　</w:t>
      </w:r>
      <w:r>
        <w:rPr>
          <w:rFonts w:hint="eastAsia"/>
          <w:sz w:val="32"/>
          <w:szCs w:val="32"/>
        </w:rPr>
        <w:t>新建住宅日照达不到大寒日</w:t>
      </w:r>
      <w:r>
        <w:rPr>
          <w:rFonts w:hint="eastAsia"/>
          <w:sz w:val="32"/>
          <w:szCs w:val="32"/>
        </w:rPr>
        <w:t>1</w:t>
      </w:r>
      <w:r>
        <w:rPr>
          <w:rFonts w:hint="eastAsia"/>
          <w:sz w:val="32"/>
          <w:szCs w:val="32"/>
        </w:rPr>
        <w:t>小时标准的，建设单位在房屋销售时应向购房者告知，并签订书面协议。</w:t>
      </w:r>
    </w:p>
    <w:p w:rsidR="008D03E2" w:rsidRDefault="005D57EF" w:rsidP="009B097F">
      <w:pPr>
        <w:spacing w:beforeLines="100" w:afterLines="100" w:line="576" w:lineRule="exact"/>
        <w:ind w:firstLineChars="0" w:firstLine="0"/>
        <w:jc w:val="center"/>
        <w:rPr>
          <w:rFonts w:ascii="黑体" w:eastAsia="黑体"/>
          <w:sz w:val="32"/>
          <w:szCs w:val="32"/>
        </w:rPr>
      </w:pPr>
      <w:bookmarkStart w:id="0" w:name="_GoBack"/>
      <w:bookmarkEnd w:id="0"/>
      <w:r>
        <w:rPr>
          <w:rFonts w:ascii="黑体" w:eastAsia="黑体" w:hint="eastAsia"/>
          <w:sz w:val="32"/>
          <w:szCs w:val="32"/>
        </w:rPr>
        <w:t>第四章　附　　则</w:t>
      </w:r>
    </w:p>
    <w:p w:rsidR="008D03E2" w:rsidRDefault="005D57EF">
      <w:pPr>
        <w:spacing w:line="576" w:lineRule="exact"/>
        <w:ind w:firstLine="640"/>
        <w:rPr>
          <w:sz w:val="32"/>
          <w:szCs w:val="32"/>
        </w:rPr>
      </w:pPr>
      <w:r>
        <w:rPr>
          <w:rFonts w:ascii="黑体" w:eastAsia="黑体" w:hint="eastAsia"/>
          <w:sz w:val="32"/>
          <w:szCs w:val="32"/>
        </w:rPr>
        <w:t xml:space="preserve">第三十二条　</w:t>
      </w:r>
      <w:r>
        <w:rPr>
          <w:rFonts w:hint="eastAsia"/>
          <w:sz w:val="32"/>
          <w:szCs w:val="32"/>
        </w:rPr>
        <w:t>本规定中小于和以下的数字均包含本数。</w:t>
      </w:r>
    </w:p>
    <w:p w:rsidR="008D03E2" w:rsidRDefault="005D57EF">
      <w:pPr>
        <w:spacing w:line="576" w:lineRule="exact"/>
        <w:ind w:firstLine="640"/>
        <w:rPr>
          <w:sz w:val="32"/>
          <w:szCs w:val="32"/>
        </w:rPr>
      </w:pPr>
      <w:r>
        <w:rPr>
          <w:rFonts w:ascii="黑体" w:eastAsia="黑体" w:hint="eastAsia"/>
          <w:sz w:val="32"/>
          <w:szCs w:val="32"/>
        </w:rPr>
        <w:t xml:space="preserve">第三十三条　</w:t>
      </w:r>
      <w:r>
        <w:rPr>
          <w:rFonts w:hint="eastAsia"/>
          <w:sz w:val="32"/>
          <w:szCs w:val="32"/>
        </w:rPr>
        <w:t>本规定所称区域级别与本市住宅房屋拆迁区域级别相同。</w:t>
      </w:r>
    </w:p>
    <w:p w:rsidR="008D03E2" w:rsidRDefault="005D57EF">
      <w:pPr>
        <w:spacing w:line="576" w:lineRule="exact"/>
        <w:ind w:firstLine="640"/>
        <w:rPr>
          <w:sz w:val="32"/>
          <w:szCs w:val="32"/>
        </w:rPr>
      </w:pPr>
      <w:r>
        <w:rPr>
          <w:rFonts w:ascii="黑体" w:eastAsia="黑体" w:hint="eastAsia"/>
          <w:sz w:val="32"/>
          <w:szCs w:val="32"/>
        </w:rPr>
        <w:t xml:space="preserve">第三十四条　</w:t>
      </w:r>
      <w:r>
        <w:rPr>
          <w:rFonts w:hint="eastAsia"/>
          <w:sz w:val="32"/>
          <w:szCs w:val="32"/>
        </w:rPr>
        <w:t>城市规划区内副城和组团区域范围内的旧区改造涉及的居住建筑间距和住宅日照管理可按本规定三环路以内的标准执行。</w:t>
      </w:r>
    </w:p>
    <w:p w:rsidR="008D03E2" w:rsidRDefault="005D57EF">
      <w:pPr>
        <w:spacing w:line="576" w:lineRule="exact"/>
        <w:ind w:firstLine="640"/>
        <w:rPr>
          <w:sz w:val="32"/>
          <w:szCs w:val="32"/>
        </w:rPr>
      </w:pPr>
      <w:r>
        <w:rPr>
          <w:rFonts w:hint="eastAsia"/>
          <w:sz w:val="32"/>
          <w:szCs w:val="32"/>
        </w:rPr>
        <w:t>城市规划区外的城镇居住建筑间距和住宅日照管理参照本规定三环路以外地区建筑间距标准执行。</w:t>
      </w:r>
    </w:p>
    <w:p w:rsidR="008D03E2" w:rsidRDefault="005D57EF">
      <w:pPr>
        <w:spacing w:line="576" w:lineRule="exact"/>
        <w:ind w:firstLine="640"/>
        <w:rPr>
          <w:sz w:val="32"/>
          <w:szCs w:val="32"/>
        </w:rPr>
      </w:pPr>
      <w:r>
        <w:rPr>
          <w:rFonts w:ascii="黑体" w:eastAsia="黑体" w:hint="eastAsia"/>
          <w:sz w:val="32"/>
          <w:szCs w:val="32"/>
        </w:rPr>
        <w:t>第三十五条</w:t>
      </w:r>
      <w:r>
        <w:rPr>
          <w:rFonts w:hint="eastAsia"/>
          <w:sz w:val="32"/>
          <w:szCs w:val="32"/>
        </w:rPr>
        <w:t xml:space="preserve">　城市规划区内居住建筑中的临时建筑，以及未经批准为居住的建筑被遮挡的，不适用本规定。</w:t>
      </w:r>
    </w:p>
    <w:p w:rsidR="008D03E2" w:rsidRDefault="005D57EF">
      <w:pPr>
        <w:spacing w:line="576" w:lineRule="exact"/>
        <w:ind w:firstLine="640"/>
        <w:rPr>
          <w:sz w:val="32"/>
          <w:szCs w:val="32"/>
        </w:rPr>
      </w:pPr>
      <w:r>
        <w:rPr>
          <w:rFonts w:ascii="黑体" w:eastAsia="黑体" w:hint="eastAsia"/>
          <w:sz w:val="32"/>
          <w:szCs w:val="32"/>
        </w:rPr>
        <w:lastRenderedPageBreak/>
        <w:t>第三十六条</w:t>
      </w:r>
      <w:r>
        <w:rPr>
          <w:rFonts w:hint="eastAsia"/>
          <w:sz w:val="32"/>
          <w:szCs w:val="32"/>
        </w:rPr>
        <w:t xml:space="preserve">　本规定自</w:t>
      </w:r>
      <w:r>
        <w:rPr>
          <w:rFonts w:hint="eastAsia"/>
          <w:sz w:val="32"/>
          <w:szCs w:val="32"/>
        </w:rPr>
        <w:t>2007</w:t>
      </w:r>
      <w:r>
        <w:rPr>
          <w:rFonts w:hint="eastAsia"/>
          <w:sz w:val="32"/>
          <w:szCs w:val="32"/>
        </w:rPr>
        <w:t>年</w:t>
      </w:r>
      <w:r>
        <w:rPr>
          <w:rFonts w:hint="eastAsia"/>
          <w:sz w:val="32"/>
          <w:szCs w:val="32"/>
        </w:rPr>
        <w:t>1</w:t>
      </w:r>
      <w:r>
        <w:rPr>
          <w:rFonts w:hint="eastAsia"/>
          <w:sz w:val="32"/>
          <w:szCs w:val="32"/>
        </w:rPr>
        <w:t>月</w:t>
      </w:r>
      <w:r>
        <w:rPr>
          <w:rFonts w:hint="eastAsia"/>
          <w:sz w:val="32"/>
          <w:szCs w:val="32"/>
        </w:rPr>
        <w:t>1</w:t>
      </w:r>
      <w:r>
        <w:rPr>
          <w:rFonts w:hint="eastAsia"/>
          <w:sz w:val="32"/>
          <w:szCs w:val="32"/>
        </w:rPr>
        <w:t>日起施行。</w:t>
      </w:r>
      <w:r>
        <w:rPr>
          <w:rFonts w:hint="eastAsia"/>
          <w:sz w:val="32"/>
          <w:szCs w:val="32"/>
        </w:rPr>
        <w:t>1999</w:t>
      </w:r>
      <w:r>
        <w:rPr>
          <w:rFonts w:hint="eastAsia"/>
          <w:sz w:val="32"/>
          <w:szCs w:val="32"/>
        </w:rPr>
        <w:t>年发布的《沈阳市生活居住建筑间距规定》（沈阳市人民政</w:t>
      </w:r>
      <w:r>
        <w:rPr>
          <w:rFonts w:hint="eastAsia"/>
          <w:sz w:val="32"/>
          <w:szCs w:val="32"/>
        </w:rPr>
        <w:t>府令第</w:t>
      </w:r>
      <w:r>
        <w:rPr>
          <w:rFonts w:hint="eastAsia"/>
          <w:sz w:val="32"/>
          <w:szCs w:val="32"/>
        </w:rPr>
        <w:t>26</w:t>
      </w:r>
      <w:r>
        <w:rPr>
          <w:rFonts w:hint="eastAsia"/>
          <w:sz w:val="32"/>
          <w:szCs w:val="32"/>
        </w:rPr>
        <w:t>号）同时废止。</w:t>
      </w:r>
    </w:p>
    <w:p w:rsidR="008D03E2" w:rsidRDefault="008D03E2">
      <w:pPr>
        <w:spacing w:line="240" w:lineRule="auto"/>
        <w:ind w:firstLineChars="0" w:firstLine="0"/>
        <w:rPr>
          <w:sz w:val="32"/>
          <w:szCs w:val="32"/>
        </w:rPr>
      </w:pPr>
    </w:p>
    <w:sectPr w:rsidR="008D03E2" w:rsidSect="008D03E2">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EF" w:rsidRDefault="005D57EF">
      <w:pPr>
        <w:spacing w:line="240" w:lineRule="auto"/>
        <w:ind w:firstLine="480"/>
      </w:pPr>
      <w:r>
        <w:separator/>
      </w:r>
    </w:p>
  </w:endnote>
  <w:endnote w:type="continuationSeparator" w:id="0">
    <w:p w:rsidR="005D57EF" w:rsidRDefault="005D57E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2" w:rsidRDefault="008D03E2">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2" w:rsidRDefault="008D03E2">
    <w:pPr>
      <w:pStyle w:val="a7"/>
      <w:ind w:leftChars="2280" w:left="5472" w:firstLineChars="2000" w:firstLine="6400"/>
      <w:rPr>
        <w:rFonts w:eastAsia="仿宋"/>
        <w:sz w:val="32"/>
        <w:szCs w:val="48"/>
      </w:rPr>
    </w:pPr>
    <w:r w:rsidRPr="008D03E2">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8D03E2" w:rsidRDefault="008D03E2">
                <w:pPr>
                  <w:pStyle w:val="a6"/>
                  <w:ind w:firstLine="560"/>
                </w:pPr>
                <w:r>
                  <w:rPr>
                    <w:rFonts w:ascii="宋体" w:eastAsia="宋体" w:hAnsi="宋体" w:cs="宋体" w:hint="eastAsia"/>
                    <w:sz w:val="28"/>
                    <w:szCs w:val="28"/>
                  </w:rPr>
                  <w:fldChar w:fldCharType="begin"/>
                </w:r>
                <w:r w:rsidR="005D57E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097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5D57EF">
      <w:rPr>
        <w:rFonts w:eastAsia="仿宋" w:hint="eastAsia"/>
        <w:sz w:val="32"/>
        <w:szCs w:val="48"/>
      </w:rPr>
      <w:t xml:space="preserve">  </w:t>
    </w:r>
  </w:p>
  <w:p w:rsidR="008D03E2" w:rsidRDefault="008D03E2">
    <w:pPr>
      <w:pStyle w:val="a7"/>
      <w:wordWrap w:val="0"/>
      <w:ind w:leftChars="2280" w:left="5472" w:firstLineChars="2000" w:firstLine="6400"/>
      <w:jc w:val="right"/>
      <w:rPr>
        <w:rFonts w:ascii="宋体" w:eastAsia="宋体" w:hAnsi="宋体" w:cs="宋体"/>
        <w:b/>
        <w:bCs/>
        <w:color w:val="005192"/>
        <w:sz w:val="28"/>
        <w:szCs w:val="44"/>
      </w:rPr>
    </w:pPr>
    <w:r w:rsidRPr="008D03E2">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5D57EF">
      <w:rPr>
        <w:rFonts w:eastAsia="仿宋" w:hint="eastAsia"/>
        <w:color w:val="FAFAFA"/>
        <w:sz w:val="32"/>
        <w:szCs w:val="48"/>
      </w:rPr>
      <w:t>X</w:t>
    </w:r>
    <w:r w:rsidR="005D57EF">
      <w:rPr>
        <w:rFonts w:eastAsia="仿宋" w:hint="eastAsia"/>
        <w:color w:val="FAFAFA"/>
        <w:sz w:val="32"/>
        <w:szCs w:val="48"/>
      </w:rPr>
      <w:t>辽宁</w:t>
    </w:r>
    <w:r w:rsidR="005D57EF">
      <w:rPr>
        <w:rFonts w:ascii="宋体" w:eastAsia="宋体" w:hAnsi="宋体" w:cs="宋体" w:hint="eastAsia"/>
        <w:b/>
        <w:bCs/>
        <w:color w:val="005192"/>
        <w:sz w:val="28"/>
        <w:szCs w:val="44"/>
      </w:rPr>
      <w:t>沈阳市人民政府发布</w:t>
    </w:r>
  </w:p>
  <w:p w:rsidR="008D03E2" w:rsidRDefault="008D03E2" w:rsidP="009B097F">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2" w:rsidRDefault="008D03E2">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EF" w:rsidRDefault="005D57EF">
      <w:pPr>
        <w:spacing w:line="240" w:lineRule="auto"/>
        <w:ind w:firstLine="480"/>
      </w:pPr>
      <w:r>
        <w:separator/>
      </w:r>
    </w:p>
  </w:footnote>
  <w:footnote w:type="continuationSeparator" w:id="0">
    <w:p w:rsidR="005D57EF" w:rsidRDefault="005D57E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2" w:rsidRDefault="008D03E2">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2" w:rsidRDefault="008D03E2">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8D03E2" w:rsidRDefault="005D57EF">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2" w:rsidRDefault="008D03E2">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FFFEDE0"/>
    <w:rsid w:val="00172A27"/>
    <w:rsid w:val="005D57EF"/>
    <w:rsid w:val="006B0EDA"/>
    <w:rsid w:val="006D58CA"/>
    <w:rsid w:val="008D03E2"/>
    <w:rsid w:val="00993565"/>
    <w:rsid w:val="009B097F"/>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03E2"/>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8D03E2"/>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8D03E2"/>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8D03E2"/>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8D03E2"/>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8D03E2"/>
    <w:pPr>
      <w:ind w:firstLine="632"/>
    </w:pPr>
  </w:style>
  <w:style w:type="paragraph" w:styleId="a4">
    <w:name w:val="annotation text"/>
    <w:basedOn w:val="a"/>
    <w:qFormat/>
    <w:rsid w:val="008D03E2"/>
    <w:pPr>
      <w:jc w:val="left"/>
    </w:pPr>
  </w:style>
  <w:style w:type="paragraph" w:styleId="a5">
    <w:name w:val="Balloon Text"/>
    <w:basedOn w:val="a"/>
    <w:link w:val="Char"/>
    <w:qFormat/>
    <w:rsid w:val="008D03E2"/>
    <w:pPr>
      <w:spacing w:line="240" w:lineRule="auto"/>
    </w:pPr>
    <w:rPr>
      <w:sz w:val="18"/>
      <w:szCs w:val="18"/>
    </w:rPr>
  </w:style>
  <w:style w:type="paragraph" w:styleId="a6">
    <w:name w:val="footer"/>
    <w:basedOn w:val="a"/>
    <w:qFormat/>
    <w:rsid w:val="008D03E2"/>
    <w:pPr>
      <w:tabs>
        <w:tab w:val="center" w:pos="4153"/>
        <w:tab w:val="right" w:pos="8306"/>
      </w:tabs>
      <w:snapToGrid w:val="0"/>
      <w:jc w:val="left"/>
    </w:pPr>
    <w:rPr>
      <w:sz w:val="18"/>
    </w:rPr>
  </w:style>
  <w:style w:type="paragraph" w:styleId="a7">
    <w:name w:val="header"/>
    <w:basedOn w:val="a"/>
    <w:qFormat/>
    <w:rsid w:val="008D03E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8D03E2"/>
    <w:pPr>
      <w:spacing w:beforeAutospacing="1" w:afterAutospacing="1"/>
      <w:jc w:val="left"/>
    </w:pPr>
    <w:rPr>
      <w:kern w:val="0"/>
    </w:rPr>
  </w:style>
  <w:style w:type="character" w:styleId="a9">
    <w:name w:val="Strong"/>
    <w:qFormat/>
    <w:rsid w:val="008D03E2"/>
    <w:rPr>
      <w:b/>
    </w:rPr>
  </w:style>
  <w:style w:type="character" w:styleId="aa">
    <w:name w:val="Hyperlink"/>
    <w:qFormat/>
    <w:rsid w:val="008D03E2"/>
    <w:rPr>
      <w:color w:val="0000FF"/>
      <w:u w:val="single"/>
    </w:rPr>
  </w:style>
  <w:style w:type="character" w:customStyle="1" w:styleId="3Char">
    <w:name w:val="标题 3 Char"/>
    <w:link w:val="3"/>
    <w:qFormat/>
    <w:rsid w:val="008D03E2"/>
    <w:rPr>
      <w:rFonts w:ascii="宋体" w:eastAsia="黑体" w:hAnsi="宋体" w:cs="宋体" w:hint="eastAsia"/>
      <w:kern w:val="0"/>
      <w:sz w:val="24"/>
      <w:szCs w:val="27"/>
    </w:rPr>
  </w:style>
  <w:style w:type="character" w:customStyle="1" w:styleId="Char">
    <w:name w:val="批注框文本 Char"/>
    <w:basedOn w:val="a1"/>
    <w:link w:val="a5"/>
    <w:qFormat/>
    <w:rsid w:val="008D03E2"/>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2021-10-26T19:30:00Z</cp:lastPrinted>
  <dcterms:created xsi:type="dcterms:W3CDTF">2022-12-30T18:28:00Z</dcterms:created>
  <dcterms:modified xsi:type="dcterms:W3CDTF">2023-03-25T08:02:00Z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