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heme="minorEastAsia" w:hAnsiTheme="minorEastAsia" w:eastAsiaTheme="minorEastAsia" w:cstheme="minorEastAsia"/>
          <w:sz w:val="44"/>
          <w:szCs w:val="44"/>
        </w:rPr>
      </w:pPr>
      <w:bookmarkStart w:id="0" w:name="_Toc13815"/>
    </w:p>
    <w:bookmarkEnd w:id="0"/>
    <w:p>
      <w:pPr>
        <w:spacing w:line="240" w:lineRule="auto"/>
        <w:ind w:firstLine="0" w:firstLineChars="0"/>
        <w:jc w:val="left"/>
        <w:rPr>
          <w:sz w:val="32"/>
          <w:szCs w:val="32"/>
        </w:rPr>
      </w:pPr>
    </w:p>
    <w:p>
      <w:pPr>
        <w:spacing w:line="240" w:lineRule="auto"/>
        <w:ind w:firstLine="0" w:firstLineChars="0"/>
        <w:jc w:val="center"/>
        <w:rPr>
          <w:rFonts w:hint="eastAsia" w:ascii="方正小标宋_GBK" w:hAnsi="方正小标宋_GBK" w:eastAsia="方正小标宋_GBK" w:cs="方正小标宋_GBK"/>
          <w:sz w:val="44"/>
          <w:szCs w:val="44"/>
        </w:rPr>
      </w:pPr>
      <w:bookmarkStart w:id="1" w:name="_GoBack"/>
      <w:r>
        <w:rPr>
          <w:rFonts w:hint="eastAsia" w:ascii="方正小标宋_GBK" w:hAnsi="方正小标宋_GBK" w:eastAsia="方正小标宋_GBK" w:cs="方正小标宋_GBK"/>
          <w:sz w:val="44"/>
          <w:szCs w:val="44"/>
        </w:rPr>
        <w:t>沈阳市优化营商环境办法</w:t>
      </w:r>
    </w:p>
    <w:bookmarkEnd w:id="1"/>
    <w:p>
      <w:pPr>
        <w:spacing w:line="240" w:lineRule="auto"/>
        <w:ind w:firstLine="0" w:firstLineChars="0"/>
        <w:jc w:val="center"/>
        <w:rPr>
          <w:rFonts w:hint="eastAsia" w:ascii="楷体_GB2312" w:eastAsia="楷体_GB2312"/>
          <w:sz w:val="32"/>
          <w:szCs w:val="32"/>
        </w:rPr>
      </w:pPr>
      <w:r>
        <w:rPr>
          <w:rFonts w:hint="eastAsia" w:ascii="楷体_GB2312" w:eastAsia="楷体_GB2312"/>
          <w:sz w:val="32"/>
          <w:szCs w:val="32"/>
        </w:rPr>
        <w:t>（2017年11月30日沈阳市人民政府第70号令公布　自2018年1月1日起施行）</w:t>
      </w:r>
    </w:p>
    <w:p>
      <w:pPr>
        <w:spacing w:line="240" w:lineRule="auto"/>
        <w:ind w:firstLine="640"/>
        <w:jc w:val="left"/>
        <w:rPr>
          <w:sz w:val="32"/>
          <w:szCs w:val="32"/>
        </w:rPr>
      </w:pPr>
    </w:p>
    <w:p>
      <w:pPr>
        <w:spacing w:line="240" w:lineRule="auto"/>
        <w:ind w:firstLine="640"/>
        <w:jc w:val="left"/>
        <w:rPr>
          <w:rFonts w:hint="eastAsia"/>
          <w:sz w:val="32"/>
          <w:szCs w:val="32"/>
        </w:rPr>
      </w:pPr>
      <w:r>
        <w:rPr>
          <w:rFonts w:hint="eastAsia" w:ascii="黑体" w:eastAsia="黑体"/>
          <w:sz w:val="32"/>
          <w:szCs w:val="32"/>
        </w:rPr>
        <w:t>第一条　</w:t>
      </w:r>
      <w:r>
        <w:rPr>
          <w:rFonts w:hint="eastAsia"/>
          <w:sz w:val="32"/>
          <w:szCs w:val="32"/>
        </w:rPr>
        <w:t>为了优化营商环境，保护各类市场主体的合法权益，促进本市经济和社会全面发展，根据《辽宁省优化营商环境条例》，结合本市实际，制定本办法。</w:t>
      </w:r>
    </w:p>
    <w:p>
      <w:pPr>
        <w:spacing w:line="240" w:lineRule="auto"/>
        <w:ind w:firstLine="640"/>
        <w:jc w:val="left"/>
        <w:rPr>
          <w:rFonts w:hint="eastAsia"/>
          <w:sz w:val="32"/>
          <w:szCs w:val="32"/>
        </w:rPr>
      </w:pPr>
      <w:r>
        <w:rPr>
          <w:rFonts w:hint="eastAsia" w:ascii="黑体" w:eastAsia="黑体"/>
          <w:sz w:val="32"/>
          <w:szCs w:val="32"/>
        </w:rPr>
        <w:t>第二条　</w:t>
      </w:r>
      <w:r>
        <w:rPr>
          <w:rFonts w:hint="eastAsia"/>
          <w:sz w:val="32"/>
          <w:szCs w:val="32"/>
        </w:rPr>
        <w:t>本市行政区域内的营商环境建设和监督等工作，适用本办法。</w:t>
      </w:r>
    </w:p>
    <w:p>
      <w:pPr>
        <w:spacing w:line="240" w:lineRule="auto"/>
        <w:ind w:firstLine="640"/>
        <w:jc w:val="left"/>
        <w:rPr>
          <w:rFonts w:hint="eastAsia"/>
          <w:sz w:val="32"/>
          <w:szCs w:val="32"/>
        </w:rPr>
      </w:pPr>
      <w:r>
        <w:rPr>
          <w:rFonts w:hint="eastAsia" w:ascii="黑体" w:eastAsia="黑体"/>
          <w:sz w:val="32"/>
          <w:szCs w:val="32"/>
        </w:rPr>
        <w:t>第三条　</w:t>
      </w:r>
      <w:r>
        <w:rPr>
          <w:rFonts w:hint="eastAsia"/>
          <w:sz w:val="32"/>
          <w:szCs w:val="32"/>
        </w:rPr>
        <w:t>市和区、县（市）人民政府营商环境建设监督行政管理部门负责本行政区域内的营商环境建设和监督等具体工作。</w:t>
      </w:r>
    </w:p>
    <w:p>
      <w:pPr>
        <w:spacing w:line="240" w:lineRule="auto"/>
        <w:ind w:firstLine="640"/>
        <w:jc w:val="left"/>
        <w:rPr>
          <w:rFonts w:hint="eastAsia"/>
          <w:sz w:val="32"/>
          <w:szCs w:val="32"/>
        </w:rPr>
      </w:pPr>
      <w:r>
        <w:rPr>
          <w:rFonts w:hint="eastAsia"/>
          <w:sz w:val="32"/>
          <w:szCs w:val="32"/>
        </w:rPr>
        <w:t>市和区、县（市）人民政府各有关部门按照各自职责分工，做好营商环境建设的相关工作。</w:t>
      </w:r>
    </w:p>
    <w:p>
      <w:pPr>
        <w:spacing w:line="240" w:lineRule="auto"/>
        <w:ind w:firstLine="640"/>
        <w:jc w:val="left"/>
        <w:rPr>
          <w:rFonts w:hint="eastAsia"/>
          <w:sz w:val="32"/>
          <w:szCs w:val="32"/>
        </w:rPr>
      </w:pPr>
      <w:r>
        <w:rPr>
          <w:rFonts w:hint="eastAsia" w:ascii="黑体" w:eastAsia="黑体"/>
          <w:sz w:val="32"/>
          <w:szCs w:val="32"/>
        </w:rPr>
        <w:t>第四条　</w:t>
      </w:r>
      <w:r>
        <w:rPr>
          <w:rFonts w:hint="eastAsia"/>
          <w:sz w:val="32"/>
          <w:szCs w:val="32"/>
        </w:rPr>
        <w:t>市和区、县（市）人民政府应当建设尊重市场规律、崇尚发展创新、开放包容、互利共赢的营商发展环境。</w:t>
      </w:r>
    </w:p>
    <w:p>
      <w:pPr>
        <w:spacing w:line="240" w:lineRule="auto"/>
        <w:ind w:firstLine="640"/>
        <w:jc w:val="left"/>
        <w:rPr>
          <w:rFonts w:hint="eastAsia"/>
          <w:sz w:val="32"/>
          <w:szCs w:val="32"/>
        </w:rPr>
      </w:pPr>
      <w:r>
        <w:rPr>
          <w:rFonts w:hint="eastAsia"/>
          <w:sz w:val="32"/>
          <w:szCs w:val="32"/>
        </w:rPr>
        <w:t>新闻媒体应当按照客观、准确、及时的原则，创新宣传方式，加强对优化营商环境工作的舆论监督。</w:t>
      </w:r>
    </w:p>
    <w:p>
      <w:pPr>
        <w:spacing w:line="240" w:lineRule="auto"/>
        <w:ind w:firstLine="640"/>
        <w:jc w:val="left"/>
        <w:rPr>
          <w:rFonts w:hint="eastAsia"/>
          <w:sz w:val="32"/>
          <w:szCs w:val="32"/>
        </w:rPr>
      </w:pPr>
      <w:r>
        <w:rPr>
          <w:rFonts w:hint="eastAsia" w:ascii="黑体" w:eastAsia="黑体"/>
          <w:sz w:val="32"/>
          <w:szCs w:val="32"/>
        </w:rPr>
        <w:t>第五条　</w:t>
      </w:r>
      <w:r>
        <w:rPr>
          <w:rFonts w:hint="eastAsia"/>
          <w:sz w:val="32"/>
          <w:szCs w:val="32"/>
        </w:rPr>
        <w:t>市和区、县（市）人民政府及其有关部门应当及时清理政府规章、规范性文件。对与建设国际化营商环境要求不符的、与法律法规不一致的政府规章、规范性文件予以修改或者废止，并向社会公布。</w:t>
      </w:r>
    </w:p>
    <w:p>
      <w:pPr>
        <w:spacing w:line="240" w:lineRule="auto"/>
        <w:ind w:firstLine="640"/>
        <w:jc w:val="left"/>
        <w:rPr>
          <w:rFonts w:hint="eastAsia"/>
          <w:sz w:val="32"/>
          <w:szCs w:val="32"/>
        </w:rPr>
      </w:pPr>
      <w:r>
        <w:rPr>
          <w:rFonts w:hint="eastAsia" w:ascii="黑体" w:eastAsia="黑体"/>
          <w:sz w:val="32"/>
          <w:szCs w:val="32"/>
        </w:rPr>
        <w:t>第六条　</w:t>
      </w:r>
      <w:r>
        <w:rPr>
          <w:rFonts w:hint="eastAsia"/>
          <w:sz w:val="32"/>
          <w:szCs w:val="32"/>
        </w:rPr>
        <w:t>市和区、县（市）人民政府及其有关部门应当加大对食品药品、医疗器械、环境保护、安全生产、展会、电子商务等领域知识产权执法力度，完善知识产权行政执法与司法保护的衔接。</w:t>
      </w:r>
    </w:p>
    <w:p>
      <w:pPr>
        <w:spacing w:line="240" w:lineRule="auto"/>
        <w:ind w:firstLine="640"/>
        <w:jc w:val="left"/>
        <w:rPr>
          <w:rFonts w:hint="eastAsia"/>
          <w:sz w:val="32"/>
          <w:szCs w:val="32"/>
        </w:rPr>
      </w:pPr>
      <w:r>
        <w:rPr>
          <w:rFonts w:hint="eastAsia" w:ascii="黑体" w:eastAsia="黑体"/>
          <w:sz w:val="32"/>
          <w:szCs w:val="32"/>
        </w:rPr>
        <w:t>第七条</w:t>
      </w:r>
      <w:r>
        <w:rPr>
          <w:rFonts w:hint="eastAsia"/>
          <w:sz w:val="32"/>
          <w:szCs w:val="32"/>
        </w:rPr>
        <w:t>　市和区、县（市）人民政府及其有关部门应当建设具有国际竞争力的海外人才离岸创新创业自由港，吸引海外人才来本地区创新创业。</w:t>
      </w:r>
    </w:p>
    <w:p>
      <w:pPr>
        <w:spacing w:line="240" w:lineRule="auto"/>
        <w:ind w:firstLine="640"/>
        <w:jc w:val="left"/>
        <w:rPr>
          <w:rFonts w:hint="eastAsia"/>
          <w:sz w:val="32"/>
          <w:szCs w:val="32"/>
        </w:rPr>
      </w:pPr>
      <w:r>
        <w:rPr>
          <w:rFonts w:hint="eastAsia" w:ascii="黑体" w:eastAsia="黑体"/>
          <w:sz w:val="32"/>
          <w:szCs w:val="32"/>
        </w:rPr>
        <w:t>第八条　</w:t>
      </w:r>
      <w:r>
        <w:rPr>
          <w:rFonts w:hint="eastAsia"/>
          <w:sz w:val="32"/>
          <w:szCs w:val="32"/>
        </w:rPr>
        <w:t>市和区、县（市）人民政府及其有关部门应当依法加强环境保护，提高环境保护管理水平和效率。鼓励企业实行国际通行的环境和能源管理体系标准认证，采用先进生产工艺和技术，节约能源，减少污染物和温室气体排放。</w:t>
      </w:r>
    </w:p>
    <w:p>
      <w:pPr>
        <w:spacing w:line="240" w:lineRule="auto"/>
        <w:ind w:firstLine="640"/>
        <w:jc w:val="left"/>
        <w:rPr>
          <w:rFonts w:hint="eastAsia"/>
          <w:sz w:val="32"/>
          <w:szCs w:val="32"/>
        </w:rPr>
      </w:pPr>
      <w:r>
        <w:rPr>
          <w:rFonts w:hint="eastAsia" w:ascii="黑体" w:eastAsia="黑体"/>
          <w:sz w:val="32"/>
          <w:szCs w:val="32"/>
        </w:rPr>
        <w:t>第九条　</w:t>
      </w:r>
      <w:r>
        <w:rPr>
          <w:rFonts w:hint="eastAsia"/>
          <w:sz w:val="32"/>
          <w:szCs w:val="32"/>
        </w:rPr>
        <w:t>依法平等保护本地企业和外地企业的合法权益。凡对本地企业开放的市场领域，不得限制外地企业进入。不得要求外地企业在本地开展经营活动时设立子公司，法律、行政法规另有规定的除外。</w:t>
      </w:r>
    </w:p>
    <w:p>
      <w:pPr>
        <w:spacing w:line="240" w:lineRule="auto"/>
        <w:ind w:firstLine="640"/>
        <w:jc w:val="left"/>
        <w:rPr>
          <w:rFonts w:hint="eastAsia"/>
          <w:sz w:val="32"/>
          <w:szCs w:val="32"/>
        </w:rPr>
      </w:pPr>
      <w:r>
        <w:rPr>
          <w:rFonts w:hint="eastAsia"/>
          <w:sz w:val="32"/>
          <w:szCs w:val="32"/>
        </w:rPr>
        <w:t>建立健全公平竞争审查制度，禁止出台排除、限制竞争的政策措施，严厉查处滥收费用、强迫交易等行为。特许经营项目建设运营标准和监督管理要求明确、有关领域市场竞争比较充分的，应当通过招标方式选择特许经营者。</w:t>
      </w:r>
    </w:p>
    <w:p>
      <w:pPr>
        <w:spacing w:line="240" w:lineRule="auto"/>
        <w:ind w:firstLine="640"/>
        <w:jc w:val="left"/>
        <w:rPr>
          <w:rFonts w:hint="eastAsia"/>
          <w:sz w:val="32"/>
          <w:szCs w:val="32"/>
        </w:rPr>
      </w:pPr>
      <w:r>
        <w:rPr>
          <w:rFonts w:hint="eastAsia" w:ascii="黑体" w:eastAsia="黑体"/>
          <w:sz w:val="32"/>
          <w:szCs w:val="32"/>
        </w:rPr>
        <w:t>第十条　</w:t>
      </w:r>
      <w:r>
        <w:rPr>
          <w:rFonts w:hint="eastAsia"/>
          <w:sz w:val="32"/>
          <w:szCs w:val="32"/>
        </w:rPr>
        <w:t>除个体工商户外，企业应当依法按照自愿原则迁移。</w:t>
      </w:r>
    </w:p>
    <w:p>
      <w:pPr>
        <w:spacing w:line="240" w:lineRule="auto"/>
        <w:ind w:firstLine="640"/>
        <w:jc w:val="left"/>
        <w:rPr>
          <w:rFonts w:hint="eastAsia"/>
          <w:sz w:val="32"/>
          <w:szCs w:val="32"/>
        </w:rPr>
      </w:pPr>
      <w:r>
        <w:rPr>
          <w:rFonts w:hint="eastAsia"/>
          <w:sz w:val="32"/>
          <w:szCs w:val="32"/>
        </w:rPr>
        <w:t>市和区、县（市）人民政府及其有关部门应当禁止下列行为：</w:t>
      </w:r>
    </w:p>
    <w:p>
      <w:pPr>
        <w:spacing w:line="240" w:lineRule="auto"/>
        <w:ind w:firstLine="640"/>
        <w:jc w:val="left"/>
        <w:rPr>
          <w:rFonts w:hint="eastAsia"/>
          <w:sz w:val="32"/>
          <w:szCs w:val="32"/>
        </w:rPr>
      </w:pPr>
      <w:r>
        <w:rPr>
          <w:rFonts w:hint="eastAsia"/>
          <w:sz w:val="32"/>
          <w:szCs w:val="32"/>
        </w:rPr>
        <w:t>（一）以享受优惠政策为目的的企业非正常迁移；</w:t>
      </w:r>
    </w:p>
    <w:p>
      <w:pPr>
        <w:spacing w:line="240" w:lineRule="auto"/>
        <w:ind w:firstLine="640"/>
        <w:jc w:val="left"/>
        <w:rPr>
          <w:rFonts w:hint="eastAsia"/>
          <w:sz w:val="32"/>
          <w:szCs w:val="32"/>
        </w:rPr>
      </w:pPr>
      <w:r>
        <w:rPr>
          <w:rFonts w:hint="eastAsia"/>
          <w:sz w:val="32"/>
          <w:szCs w:val="32"/>
        </w:rPr>
        <w:t>（二）地区间争抢存量税源户；</w:t>
      </w:r>
    </w:p>
    <w:p>
      <w:pPr>
        <w:spacing w:line="240" w:lineRule="auto"/>
        <w:ind w:firstLine="640"/>
        <w:jc w:val="left"/>
        <w:rPr>
          <w:rFonts w:hint="eastAsia"/>
          <w:sz w:val="32"/>
          <w:szCs w:val="32"/>
        </w:rPr>
      </w:pPr>
      <w:r>
        <w:rPr>
          <w:rFonts w:hint="eastAsia"/>
          <w:sz w:val="32"/>
          <w:szCs w:val="32"/>
        </w:rPr>
        <w:t>（三）变相施压，违背企业意愿，强制推进企业迁移的行为；</w:t>
      </w:r>
    </w:p>
    <w:p>
      <w:pPr>
        <w:spacing w:line="240" w:lineRule="auto"/>
        <w:ind w:firstLine="640"/>
        <w:jc w:val="left"/>
        <w:rPr>
          <w:rFonts w:hint="eastAsia"/>
          <w:sz w:val="32"/>
          <w:szCs w:val="32"/>
        </w:rPr>
      </w:pPr>
      <w:r>
        <w:rPr>
          <w:rFonts w:hint="eastAsia"/>
          <w:sz w:val="32"/>
          <w:szCs w:val="32"/>
        </w:rPr>
        <w:t>（四）设置附加条件、增加审批流程、变更申请要件、超时办理企业迁移、不积极配合服务企业、不履行一次性告知义务；</w:t>
      </w:r>
    </w:p>
    <w:p>
      <w:pPr>
        <w:spacing w:line="240" w:lineRule="auto"/>
        <w:ind w:firstLine="640"/>
        <w:jc w:val="left"/>
        <w:rPr>
          <w:rFonts w:hint="eastAsia"/>
          <w:sz w:val="32"/>
          <w:szCs w:val="32"/>
        </w:rPr>
      </w:pPr>
      <w:r>
        <w:rPr>
          <w:rFonts w:hint="eastAsia"/>
          <w:sz w:val="32"/>
          <w:szCs w:val="32"/>
        </w:rPr>
        <w:t>（五）其他危害企业自愿迁移的行为。</w:t>
      </w:r>
    </w:p>
    <w:p>
      <w:pPr>
        <w:spacing w:line="240" w:lineRule="auto"/>
        <w:ind w:firstLine="640"/>
        <w:jc w:val="left"/>
        <w:rPr>
          <w:rFonts w:hint="eastAsia"/>
          <w:sz w:val="32"/>
          <w:szCs w:val="32"/>
        </w:rPr>
      </w:pPr>
      <w:r>
        <w:rPr>
          <w:rFonts w:hint="eastAsia" w:ascii="黑体" w:eastAsia="黑体"/>
          <w:sz w:val="32"/>
          <w:szCs w:val="32"/>
        </w:rPr>
        <w:t>第十一条　</w:t>
      </w:r>
      <w:r>
        <w:rPr>
          <w:rFonts w:hint="eastAsia"/>
          <w:sz w:val="32"/>
          <w:szCs w:val="32"/>
        </w:rPr>
        <w:t>鼓励支持行业协会、商会等参与营商环境建设，推动行业协会、商会等制定行业管理标准和行业公约，加强行业自律。</w:t>
      </w:r>
    </w:p>
    <w:p>
      <w:pPr>
        <w:spacing w:line="240" w:lineRule="auto"/>
        <w:ind w:firstLine="640"/>
        <w:jc w:val="left"/>
        <w:rPr>
          <w:rFonts w:hint="eastAsia"/>
          <w:sz w:val="32"/>
          <w:szCs w:val="32"/>
        </w:rPr>
      </w:pPr>
      <w:r>
        <w:rPr>
          <w:rFonts w:hint="eastAsia" w:ascii="黑体" w:eastAsia="黑体"/>
          <w:sz w:val="32"/>
          <w:szCs w:val="32"/>
        </w:rPr>
        <w:t>第十二条　</w:t>
      </w:r>
      <w:r>
        <w:rPr>
          <w:rFonts w:hint="eastAsia"/>
          <w:sz w:val="32"/>
          <w:szCs w:val="32"/>
        </w:rPr>
        <w:t>有关机关及其部门制定经济政策，起草或者提请制定涉及投资者或者企业重大权益的地方性法规、规章以及其他规范性文件，应当采取实地调研、召开座谈会、论证会等各种形式深入听取相关企业意见和建议，对企业提出的合理性意见和建议应当予以采纳。</w:t>
      </w:r>
    </w:p>
    <w:p>
      <w:pPr>
        <w:spacing w:line="240" w:lineRule="auto"/>
        <w:ind w:firstLine="640"/>
        <w:jc w:val="left"/>
        <w:rPr>
          <w:rFonts w:hint="eastAsia"/>
          <w:sz w:val="32"/>
          <w:szCs w:val="32"/>
        </w:rPr>
      </w:pPr>
      <w:r>
        <w:rPr>
          <w:rFonts w:hint="eastAsia" w:ascii="黑体" w:eastAsia="黑体"/>
          <w:sz w:val="32"/>
          <w:szCs w:val="32"/>
        </w:rPr>
        <w:t>第十三条　</w:t>
      </w:r>
      <w:r>
        <w:rPr>
          <w:rFonts w:hint="eastAsia"/>
          <w:sz w:val="32"/>
          <w:szCs w:val="32"/>
        </w:rPr>
        <w:t>市和区、县（市）人民政府及其有关部门应当保持政策的连续和稳定，其依法作出的行政许可决定、招商引资书面承诺等，不得随意改变。因公共利益或者其他法定事由确需撤回或者变更的，应当依照法定权限和程序进行。</w:t>
      </w:r>
    </w:p>
    <w:p>
      <w:pPr>
        <w:spacing w:line="240" w:lineRule="auto"/>
        <w:ind w:firstLine="640"/>
        <w:jc w:val="left"/>
        <w:rPr>
          <w:rFonts w:hint="eastAsia"/>
          <w:sz w:val="32"/>
          <w:szCs w:val="32"/>
        </w:rPr>
      </w:pPr>
      <w:r>
        <w:rPr>
          <w:rFonts w:hint="eastAsia" w:ascii="黑体" w:eastAsia="黑体"/>
          <w:sz w:val="32"/>
          <w:szCs w:val="32"/>
        </w:rPr>
        <w:t>第十四条　</w:t>
      </w:r>
      <w:r>
        <w:rPr>
          <w:rFonts w:hint="eastAsia"/>
          <w:sz w:val="32"/>
          <w:szCs w:val="32"/>
        </w:rPr>
        <w:t>市和区、县（市）人民政府应当整合信用信息资源，构建统一、公开的信用信息服务平台，收集市场主体在社会经济活动中形成的与信用状况有关的贷款、担保、合同履行等交易记录，以及环境保护、金融、工商登记、税收缴纳、社保缴费、交通违章、行政处罚等信用信息，建立和完善信用信息档案及查询制度，依法提供免费查询服务。</w:t>
      </w:r>
    </w:p>
    <w:p>
      <w:pPr>
        <w:spacing w:line="240" w:lineRule="auto"/>
        <w:ind w:firstLine="640"/>
        <w:jc w:val="left"/>
        <w:rPr>
          <w:rFonts w:hint="eastAsia"/>
          <w:sz w:val="32"/>
          <w:szCs w:val="32"/>
        </w:rPr>
      </w:pPr>
      <w:r>
        <w:rPr>
          <w:rFonts w:hint="eastAsia" w:ascii="黑体" w:eastAsia="黑体"/>
          <w:sz w:val="32"/>
          <w:szCs w:val="32"/>
        </w:rPr>
        <w:t>第十五条　</w:t>
      </w:r>
      <w:r>
        <w:rPr>
          <w:rFonts w:hint="eastAsia"/>
          <w:sz w:val="32"/>
          <w:szCs w:val="32"/>
        </w:rPr>
        <w:t>投资者、企业依法享有获取政务信息的权利，并有权咨询有关情况以及查阅、复制有关资料，政府有关部门应当依法提供。</w:t>
      </w:r>
    </w:p>
    <w:p>
      <w:pPr>
        <w:spacing w:line="240" w:lineRule="auto"/>
        <w:ind w:firstLine="640"/>
        <w:jc w:val="left"/>
        <w:rPr>
          <w:rFonts w:hint="eastAsia"/>
          <w:sz w:val="32"/>
          <w:szCs w:val="32"/>
        </w:rPr>
      </w:pPr>
      <w:r>
        <w:rPr>
          <w:rFonts w:hint="eastAsia" w:ascii="黑体" w:eastAsia="黑体"/>
          <w:sz w:val="32"/>
          <w:szCs w:val="32"/>
        </w:rPr>
        <w:t>第十六条　</w:t>
      </w:r>
      <w:r>
        <w:rPr>
          <w:rFonts w:hint="eastAsia"/>
          <w:sz w:val="32"/>
          <w:szCs w:val="32"/>
        </w:rPr>
        <w:t>除涉及国家秘密和依法受到保护的商业秘密、个人隐私事项外，政府有关部门应当将其职责内容、工作程序、服务承诺、行政执法等履行职责的政务活动事项，通过政府网站、部门网站、办事指南，以及广播、电视、报刊等新闻媒体向社会公开。</w:t>
      </w:r>
    </w:p>
    <w:p>
      <w:pPr>
        <w:spacing w:line="240" w:lineRule="auto"/>
        <w:ind w:firstLine="640"/>
        <w:jc w:val="left"/>
        <w:rPr>
          <w:rFonts w:hint="eastAsia"/>
          <w:sz w:val="32"/>
          <w:szCs w:val="32"/>
        </w:rPr>
      </w:pPr>
      <w:r>
        <w:rPr>
          <w:rFonts w:hint="eastAsia" w:ascii="黑体" w:eastAsia="黑体"/>
          <w:sz w:val="32"/>
          <w:szCs w:val="32"/>
        </w:rPr>
        <w:t>第十七条　</w:t>
      </w:r>
      <w:r>
        <w:rPr>
          <w:rFonts w:hint="eastAsia"/>
          <w:sz w:val="32"/>
          <w:szCs w:val="32"/>
        </w:rPr>
        <w:t>市和区、县（市）人民政府及其有关部门应当制定权责清单和权力运行流程图，将行使的行政职权及依据、行使主体、运行流程、办结时限、对应责任等以清单形式向社会公示，并接受社会监督。</w:t>
      </w:r>
    </w:p>
    <w:p>
      <w:pPr>
        <w:spacing w:line="240" w:lineRule="auto"/>
        <w:ind w:firstLine="640"/>
        <w:jc w:val="left"/>
        <w:rPr>
          <w:rFonts w:hint="eastAsia"/>
          <w:sz w:val="32"/>
          <w:szCs w:val="32"/>
        </w:rPr>
      </w:pPr>
      <w:r>
        <w:rPr>
          <w:rFonts w:hint="eastAsia"/>
          <w:sz w:val="32"/>
          <w:szCs w:val="32"/>
        </w:rPr>
        <w:t>权责清单和权力运行流程图发生调整的，应当及时更新，并向社会公布。</w:t>
      </w:r>
    </w:p>
    <w:p>
      <w:pPr>
        <w:spacing w:line="240" w:lineRule="auto"/>
        <w:ind w:firstLine="640"/>
        <w:jc w:val="left"/>
        <w:rPr>
          <w:rFonts w:hint="eastAsia"/>
          <w:sz w:val="32"/>
          <w:szCs w:val="32"/>
        </w:rPr>
      </w:pPr>
      <w:r>
        <w:rPr>
          <w:rFonts w:hint="eastAsia" w:ascii="黑体" w:eastAsia="黑体"/>
          <w:sz w:val="32"/>
          <w:szCs w:val="32"/>
        </w:rPr>
        <w:t>第十八条　</w:t>
      </w:r>
      <w:r>
        <w:rPr>
          <w:rFonts w:hint="eastAsia"/>
          <w:sz w:val="32"/>
          <w:szCs w:val="32"/>
        </w:rPr>
        <w:t>市人民政府应当建立健全多规合一平台，实现建设项目全程网上联办、信息互认共享。</w:t>
      </w:r>
    </w:p>
    <w:p>
      <w:pPr>
        <w:spacing w:line="240" w:lineRule="auto"/>
        <w:ind w:firstLine="640"/>
        <w:jc w:val="left"/>
        <w:rPr>
          <w:rFonts w:hint="eastAsia"/>
          <w:sz w:val="32"/>
          <w:szCs w:val="32"/>
        </w:rPr>
      </w:pPr>
      <w:r>
        <w:rPr>
          <w:rFonts w:hint="eastAsia"/>
          <w:sz w:val="32"/>
          <w:szCs w:val="32"/>
        </w:rPr>
        <w:t>区、县（市）人民政府多规合一平台应当与市人民政府多规合一平台对接，实现信息资源共享。</w:t>
      </w:r>
    </w:p>
    <w:p>
      <w:pPr>
        <w:spacing w:line="240" w:lineRule="auto"/>
        <w:ind w:firstLine="640"/>
        <w:jc w:val="left"/>
        <w:rPr>
          <w:rFonts w:hint="eastAsia"/>
          <w:sz w:val="32"/>
          <w:szCs w:val="32"/>
        </w:rPr>
      </w:pPr>
      <w:r>
        <w:rPr>
          <w:rFonts w:hint="eastAsia" w:ascii="黑体" w:eastAsia="黑体"/>
          <w:sz w:val="32"/>
          <w:szCs w:val="32"/>
        </w:rPr>
        <w:t>第十九条　</w:t>
      </w:r>
      <w:r>
        <w:rPr>
          <w:rFonts w:hint="eastAsia"/>
          <w:sz w:val="32"/>
          <w:szCs w:val="32"/>
        </w:rPr>
        <w:t>政府有关部门应当完善内部工作制度，建立健全岗位责任制、限时办结制、首问负责制、一次性告知制等工作制度。</w:t>
      </w:r>
    </w:p>
    <w:p>
      <w:pPr>
        <w:spacing w:line="240" w:lineRule="auto"/>
        <w:ind w:firstLine="640"/>
        <w:jc w:val="left"/>
        <w:rPr>
          <w:rFonts w:hint="eastAsia"/>
          <w:sz w:val="32"/>
          <w:szCs w:val="32"/>
        </w:rPr>
      </w:pPr>
      <w:r>
        <w:rPr>
          <w:rFonts w:hint="eastAsia"/>
          <w:sz w:val="32"/>
          <w:szCs w:val="32"/>
        </w:rPr>
        <w:t>进驻政务服务中心的政府有关部门应当合理设置审批事项，科学配置工作人员，对其服务窗口办理事项充分授权，确保依法不需要现场勘察、集体讨论、专家论证、听证的审批事项，在窗口受理后直接办结。</w:t>
      </w:r>
    </w:p>
    <w:p>
      <w:pPr>
        <w:spacing w:line="240" w:lineRule="auto"/>
        <w:ind w:firstLine="640"/>
        <w:jc w:val="left"/>
        <w:rPr>
          <w:rFonts w:hint="eastAsia"/>
          <w:sz w:val="32"/>
          <w:szCs w:val="32"/>
        </w:rPr>
      </w:pPr>
      <w:r>
        <w:rPr>
          <w:rFonts w:hint="eastAsia"/>
          <w:sz w:val="32"/>
          <w:szCs w:val="32"/>
        </w:rPr>
        <w:t>企业设立登记应当五个工作日内办结、变更登记三个工作日内办结、名称核准当日办结。未开业企业以及无债权债务企业，按照规定实行简易注销程序。</w:t>
      </w:r>
    </w:p>
    <w:p>
      <w:pPr>
        <w:spacing w:line="240" w:lineRule="auto"/>
        <w:ind w:firstLine="640"/>
        <w:jc w:val="left"/>
        <w:rPr>
          <w:rFonts w:hint="eastAsia"/>
          <w:sz w:val="32"/>
          <w:szCs w:val="32"/>
        </w:rPr>
      </w:pPr>
      <w:r>
        <w:rPr>
          <w:rFonts w:hint="eastAsia" w:ascii="黑体" w:eastAsia="黑体"/>
          <w:sz w:val="32"/>
          <w:szCs w:val="32"/>
        </w:rPr>
        <w:t>第二十条　</w:t>
      </w:r>
      <w:r>
        <w:rPr>
          <w:rFonts w:hint="eastAsia"/>
          <w:sz w:val="32"/>
          <w:szCs w:val="32"/>
        </w:rPr>
        <w:t>实行中介服务清单管理制度。定期对行政审批中介服务事项进行清理，国家、省取消的同步予以取消。能够通过征求相关部门意见、加强事中事后监管解决或者申请人可以按照要求自行完成的事项，不得设定中介服务。现有或者已取消的行政审批事项，不得转为中介服务。</w:t>
      </w:r>
    </w:p>
    <w:p>
      <w:pPr>
        <w:spacing w:line="240" w:lineRule="auto"/>
        <w:ind w:firstLine="640"/>
        <w:jc w:val="left"/>
        <w:rPr>
          <w:rFonts w:hint="eastAsia"/>
          <w:sz w:val="32"/>
          <w:szCs w:val="32"/>
        </w:rPr>
      </w:pPr>
      <w:r>
        <w:rPr>
          <w:rFonts w:hint="eastAsia"/>
          <w:sz w:val="32"/>
          <w:szCs w:val="32"/>
        </w:rPr>
        <w:t>除法律、行政法规以及国务院决定明确的资质资格许可外，取消其他中介服务机构资质资格审批。取消部门设定的区域性、行业性或者部门间中介服务机构执业限制。</w:t>
      </w:r>
    </w:p>
    <w:p>
      <w:pPr>
        <w:spacing w:line="240" w:lineRule="auto"/>
        <w:ind w:firstLine="640"/>
        <w:jc w:val="left"/>
        <w:rPr>
          <w:rFonts w:hint="eastAsia"/>
          <w:sz w:val="32"/>
          <w:szCs w:val="32"/>
        </w:rPr>
      </w:pPr>
      <w:r>
        <w:rPr>
          <w:rFonts w:hint="eastAsia" w:ascii="黑体" w:eastAsia="黑体"/>
          <w:sz w:val="32"/>
          <w:szCs w:val="32"/>
        </w:rPr>
        <w:t>第二十一条　</w:t>
      </w:r>
      <w:r>
        <w:rPr>
          <w:rFonts w:hint="eastAsia"/>
          <w:sz w:val="32"/>
          <w:szCs w:val="32"/>
        </w:rPr>
        <w:t>市和区、县（市）人民政府及其执法部门应当实行重大执法决定法制审核制度。未经法制审核或者审核未通过的，不得作出决定。</w:t>
      </w:r>
    </w:p>
    <w:p>
      <w:pPr>
        <w:spacing w:line="240" w:lineRule="auto"/>
        <w:ind w:firstLine="640"/>
        <w:jc w:val="left"/>
        <w:rPr>
          <w:rFonts w:hint="eastAsia"/>
          <w:sz w:val="32"/>
          <w:szCs w:val="32"/>
        </w:rPr>
      </w:pPr>
      <w:r>
        <w:rPr>
          <w:rFonts w:hint="eastAsia" w:ascii="黑体" w:eastAsia="黑体"/>
          <w:sz w:val="32"/>
          <w:szCs w:val="32"/>
        </w:rPr>
        <w:t>第二十二条　</w:t>
      </w:r>
      <w:r>
        <w:rPr>
          <w:rFonts w:hint="eastAsia"/>
          <w:sz w:val="32"/>
          <w:szCs w:val="32"/>
        </w:rPr>
        <w:t>行政执法机关对企业生产经营活动开展行政执法检查，应当遵守有关规定，并编制年度行政执法检查计划，经本级人民政府批准后方可开展。经批准的行政执法检查计划，应当向社会公开;未经批准的行政执法检查，不得开展。</w:t>
      </w:r>
    </w:p>
    <w:p>
      <w:pPr>
        <w:spacing w:line="240" w:lineRule="auto"/>
        <w:ind w:firstLine="640"/>
        <w:jc w:val="left"/>
        <w:rPr>
          <w:rFonts w:hint="eastAsia"/>
          <w:sz w:val="32"/>
          <w:szCs w:val="32"/>
        </w:rPr>
      </w:pPr>
      <w:r>
        <w:rPr>
          <w:rFonts w:hint="eastAsia"/>
          <w:sz w:val="32"/>
          <w:szCs w:val="32"/>
        </w:rPr>
        <w:t>同一行政执法机关对同一企业的执法检查，每年不得超过一次;同一系统的上级行政执法机关已对同一企业执法检查的，下级行政执法机关不得再次检查。多个行政执法机关对同一企业提出执法检查计划的，由同级政府法制部门协调，明确一个行政执法机关实行联合检查。</w:t>
      </w:r>
    </w:p>
    <w:p>
      <w:pPr>
        <w:spacing w:line="240" w:lineRule="auto"/>
        <w:ind w:firstLine="640"/>
        <w:jc w:val="left"/>
        <w:rPr>
          <w:rFonts w:hint="eastAsia"/>
          <w:sz w:val="32"/>
          <w:szCs w:val="32"/>
        </w:rPr>
      </w:pPr>
      <w:r>
        <w:rPr>
          <w:rFonts w:hint="eastAsia"/>
          <w:sz w:val="32"/>
          <w:szCs w:val="32"/>
        </w:rPr>
        <w:t>对法律、法规、规章规定的国家安全、公共安全、食品药品安全、安全生产、环境保护等直接涉及人民群众生命财产安全事项的随机检查，行政执法机关应当制定检查计划，建立完善实施检查的批准、登记、出示《行政检查通知书》和检查结果书面报告等制度，并在年底将检查计划实施情况报送本级政府法制部门备案。国家和省、市、县人民政府临时安排部署的专项执法检查，行政执法机关应当依法及时开展，并在检查结束后三十日内向本级政府法制部门备案检查实施情况。</w:t>
      </w:r>
    </w:p>
    <w:p>
      <w:pPr>
        <w:spacing w:line="240" w:lineRule="auto"/>
        <w:ind w:firstLine="640"/>
        <w:jc w:val="left"/>
        <w:rPr>
          <w:rFonts w:hint="eastAsia"/>
          <w:sz w:val="32"/>
          <w:szCs w:val="32"/>
        </w:rPr>
      </w:pPr>
      <w:r>
        <w:rPr>
          <w:rFonts w:hint="eastAsia" w:ascii="黑体" w:eastAsia="黑体"/>
          <w:sz w:val="32"/>
          <w:szCs w:val="32"/>
        </w:rPr>
        <w:t>第二十三条　</w:t>
      </w:r>
      <w:r>
        <w:rPr>
          <w:rFonts w:hint="eastAsia"/>
          <w:sz w:val="32"/>
          <w:szCs w:val="32"/>
        </w:rPr>
        <w:t>财政、价格等行政管理部门每年应当依法对涉企行政事业性收费、政府性基金项目，以及实施政府定价或者指导价的经营服务性收费项目进行核定，并在政府网站向社会公布清单目录。</w:t>
      </w:r>
    </w:p>
    <w:p>
      <w:pPr>
        <w:spacing w:line="240" w:lineRule="auto"/>
        <w:ind w:firstLine="640"/>
        <w:jc w:val="left"/>
        <w:rPr>
          <w:rFonts w:hint="eastAsia"/>
          <w:sz w:val="32"/>
          <w:szCs w:val="32"/>
        </w:rPr>
      </w:pPr>
      <w:r>
        <w:rPr>
          <w:rFonts w:hint="eastAsia"/>
          <w:sz w:val="32"/>
          <w:szCs w:val="32"/>
        </w:rPr>
        <w:t>市和区、县（市）人民政府及其有关部门应当降低市场主体用工、审批、融资、物流及供水、供电、供气、供暖等投入成本。</w:t>
      </w:r>
    </w:p>
    <w:p>
      <w:pPr>
        <w:spacing w:line="240" w:lineRule="auto"/>
        <w:ind w:firstLine="640"/>
        <w:jc w:val="left"/>
        <w:rPr>
          <w:rFonts w:hint="eastAsia"/>
          <w:sz w:val="32"/>
          <w:szCs w:val="32"/>
        </w:rPr>
      </w:pPr>
      <w:r>
        <w:rPr>
          <w:rFonts w:hint="eastAsia" w:ascii="黑体" w:eastAsia="黑体"/>
          <w:sz w:val="32"/>
          <w:szCs w:val="32"/>
        </w:rPr>
        <w:t>第二十四条　</w:t>
      </w:r>
      <w:r>
        <w:rPr>
          <w:rFonts w:hint="eastAsia"/>
          <w:sz w:val="32"/>
          <w:szCs w:val="32"/>
        </w:rPr>
        <w:t>行政执法机关应当细分量化行政处罚标准，制定自由裁量指导规范。</w:t>
      </w:r>
    </w:p>
    <w:p>
      <w:pPr>
        <w:spacing w:line="240" w:lineRule="auto"/>
        <w:ind w:firstLine="640"/>
        <w:jc w:val="left"/>
        <w:rPr>
          <w:rFonts w:hint="eastAsia"/>
          <w:sz w:val="32"/>
          <w:szCs w:val="32"/>
        </w:rPr>
      </w:pPr>
      <w:r>
        <w:rPr>
          <w:rFonts w:hint="eastAsia"/>
          <w:sz w:val="32"/>
          <w:szCs w:val="32"/>
        </w:rPr>
        <w:t>行政执法机关对企业违法情节较轻且能主动消除或者减轻违法行为危害后果的，应当先责令改正，进行教育、告诫、引导，从轻或者减轻行政处罚。</w:t>
      </w:r>
    </w:p>
    <w:p>
      <w:pPr>
        <w:spacing w:line="240" w:lineRule="auto"/>
        <w:ind w:firstLine="640"/>
        <w:jc w:val="left"/>
        <w:rPr>
          <w:rFonts w:hint="eastAsia"/>
          <w:sz w:val="32"/>
          <w:szCs w:val="32"/>
        </w:rPr>
      </w:pPr>
      <w:r>
        <w:rPr>
          <w:rFonts w:hint="eastAsia"/>
          <w:sz w:val="32"/>
          <w:szCs w:val="32"/>
        </w:rPr>
        <w:t>对企业做出较大数额罚款和没收违法所得、非法财物，以及责令停产停业、吊销许可证或者执照等重大行政处罚，应当按照有关规定向本级政府法制部门备案。重大行政处罚在提请行政执法机关负责人决定前，应当经机关法制工作机构审查。行政执法机关应当在部门网站公开行政处罚裁量基准和处罚结果信息。</w:t>
      </w:r>
    </w:p>
    <w:p>
      <w:pPr>
        <w:spacing w:line="240" w:lineRule="auto"/>
        <w:ind w:firstLine="640"/>
        <w:jc w:val="left"/>
        <w:rPr>
          <w:rFonts w:hint="eastAsia"/>
          <w:sz w:val="32"/>
          <w:szCs w:val="32"/>
        </w:rPr>
      </w:pPr>
      <w:r>
        <w:rPr>
          <w:rFonts w:hint="eastAsia" w:ascii="黑体" w:eastAsia="黑体"/>
          <w:sz w:val="32"/>
          <w:szCs w:val="32"/>
        </w:rPr>
        <w:t>第二十五条　</w:t>
      </w:r>
      <w:r>
        <w:rPr>
          <w:rFonts w:hint="eastAsia"/>
          <w:sz w:val="32"/>
          <w:szCs w:val="32"/>
        </w:rPr>
        <w:t>实行罚缴分离和收支两条线管理制度。</w:t>
      </w:r>
    </w:p>
    <w:p>
      <w:pPr>
        <w:spacing w:line="240" w:lineRule="auto"/>
        <w:ind w:firstLine="640"/>
        <w:jc w:val="left"/>
        <w:rPr>
          <w:rFonts w:hint="eastAsia"/>
          <w:sz w:val="32"/>
          <w:szCs w:val="32"/>
        </w:rPr>
      </w:pPr>
      <w:r>
        <w:rPr>
          <w:rFonts w:hint="eastAsia"/>
          <w:sz w:val="32"/>
          <w:szCs w:val="32"/>
        </w:rPr>
        <w:t>行政执法机关所需办案经费应当全部纳入预算管理。罚款、没收违法所得或者没收非法财物拍卖的款项，应当全部上缴国库。</w:t>
      </w:r>
    </w:p>
    <w:p>
      <w:pPr>
        <w:spacing w:line="240" w:lineRule="auto"/>
        <w:ind w:firstLine="640"/>
        <w:jc w:val="left"/>
        <w:rPr>
          <w:rFonts w:hint="eastAsia"/>
          <w:sz w:val="32"/>
          <w:szCs w:val="32"/>
        </w:rPr>
      </w:pPr>
      <w:r>
        <w:rPr>
          <w:rFonts w:hint="eastAsia"/>
          <w:sz w:val="32"/>
          <w:szCs w:val="32"/>
        </w:rPr>
        <w:t>禁止将罚款、没收的违法所得或者没收非法财物拍卖的款项，与行政执法机关利益挂钩。</w:t>
      </w:r>
    </w:p>
    <w:p>
      <w:pPr>
        <w:spacing w:line="240" w:lineRule="auto"/>
        <w:ind w:firstLine="640"/>
        <w:jc w:val="left"/>
        <w:rPr>
          <w:rFonts w:hint="eastAsia"/>
          <w:sz w:val="32"/>
          <w:szCs w:val="32"/>
        </w:rPr>
      </w:pPr>
      <w:r>
        <w:rPr>
          <w:rFonts w:hint="eastAsia"/>
          <w:sz w:val="32"/>
          <w:szCs w:val="32"/>
        </w:rPr>
        <w:t>财政部门不得以任何形式向作出行政处罚决定的行政执法机关返还罚款、没收的违法所得或者返还没收非法财物的拍卖款项。</w:t>
      </w:r>
    </w:p>
    <w:p>
      <w:pPr>
        <w:spacing w:line="240" w:lineRule="auto"/>
        <w:ind w:firstLine="640"/>
        <w:jc w:val="left"/>
        <w:rPr>
          <w:rFonts w:hint="eastAsia"/>
          <w:sz w:val="32"/>
          <w:szCs w:val="32"/>
        </w:rPr>
      </w:pPr>
      <w:r>
        <w:rPr>
          <w:rFonts w:hint="eastAsia" w:ascii="黑体" w:eastAsia="黑体"/>
          <w:sz w:val="32"/>
          <w:szCs w:val="32"/>
        </w:rPr>
        <w:t>第二十六条　</w:t>
      </w:r>
      <w:r>
        <w:rPr>
          <w:rFonts w:hint="eastAsia"/>
          <w:sz w:val="32"/>
          <w:szCs w:val="32"/>
        </w:rPr>
        <w:t>任何机关及其工作人员不得有下列行为：</w:t>
      </w:r>
    </w:p>
    <w:p>
      <w:pPr>
        <w:spacing w:line="240" w:lineRule="auto"/>
        <w:ind w:firstLine="640"/>
        <w:jc w:val="left"/>
        <w:rPr>
          <w:rFonts w:hint="eastAsia"/>
          <w:sz w:val="32"/>
          <w:szCs w:val="32"/>
        </w:rPr>
      </w:pPr>
      <w:r>
        <w:rPr>
          <w:rFonts w:hint="eastAsia"/>
          <w:sz w:val="32"/>
          <w:szCs w:val="32"/>
        </w:rPr>
        <w:t>（一）滥用行政权力，干预企业生产经营自主权；</w:t>
      </w:r>
    </w:p>
    <w:p>
      <w:pPr>
        <w:spacing w:line="240" w:lineRule="auto"/>
        <w:ind w:firstLine="640"/>
        <w:jc w:val="left"/>
        <w:rPr>
          <w:rFonts w:hint="eastAsia"/>
          <w:sz w:val="32"/>
          <w:szCs w:val="32"/>
        </w:rPr>
      </w:pPr>
      <w:r>
        <w:rPr>
          <w:rFonts w:hint="eastAsia"/>
          <w:sz w:val="32"/>
          <w:szCs w:val="32"/>
        </w:rPr>
        <w:t>（二）不履行、拖延履行法定职责；</w:t>
      </w:r>
    </w:p>
    <w:p>
      <w:pPr>
        <w:spacing w:line="240" w:lineRule="auto"/>
        <w:ind w:firstLine="640"/>
        <w:jc w:val="left"/>
        <w:rPr>
          <w:rFonts w:hint="eastAsia"/>
          <w:sz w:val="32"/>
          <w:szCs w:val="32"/>
        </w:rPr>
      </w:pPr>
      <w:r>
        <w:rPr>
          <w:rFonts w:hint="eastAsia"/>
          <w:sz w:val="32"/>
          <w:szCs w:val="32"/>
        </w:rPr>
        <w:t>（三）借用企业资金，占用依法应当划拨给企业的拨款以及依法应当退还企业的税金、收费、政府性基金和补助资金等;</w:t>
      </w:r>
    </w:p>
    <w:p>
      <w:pPr>
        <w:spacing w:line="240" w:lineRule="auto"/>
        <w:ind w:firstLine="640"/>
        <w:jc w:val="left"/>
        <w:rPr>
          <w:rFonts w:hint="eastAsia"/>
          <w:sz w:val="32"/>
          <w:szCs w:val="32"/>
        </w:rPr>
      </w:pPr>
      <w:r>
        <w:rPr>
          <w:rFonts w:hint="eastAsia"/>
          <w:sz w:val="32"/>
          <w:szCs w:val="32"/>
        </w:rPr>
        <w:t>（四）强制或者变相强制企业参加各类社会团体，缴纳会费、活动经费及其他费用;</w:t>
      </w:r>
    </w:p>
    <w:p>
      <w:pPr>
        <w:spacing w:line="240" w:lineRule="auto"/>
        <w:ind w:firstLine="640"/>
        <w:jc w:val="left"/>
        <w:rPr>
          <w:rFonts w:hint="eastAsia"/>
          <w:sz w:val="32"/>
          <w:szCs w:val="32"/>
        </w:rPr>
      </w:pPr>
      <w:r>
        <w:rPr>
          <w:rFonts w:hint="eastAsia"/>
          <w:sz w:val="32"/>
          <w:szCs w:val="32"/>
        </w:rPr>
        <w:t>（五）未按照国家和省有关规定，对企业进行评比、达标、升级、评优、鉴定、考试等活动;</w:t>
      </w:r>
    </w:p>
    <w:p>
      <w:pPr>
        <w:spacing w:line="240" w:lineRule="auto"/>
        <w:ind w:firstLine="640"/>
        <w:jc w:val="left"/>
        <w:rPr>
          <w:rFonts w:hint="eastAsia"/>
          <w:sz w:val="32"/>
          <w:szCs w:val="32"/>
        </w:rPr>
      </w:pPr>
      <w:r>
        <w:rPr>
          <w:rFonts w:hint="eastAsia"/>
          <w:sz w:val="32"/>
          <w:szCs w:val="32"/>
        </w:rPr>
        <w:t>（六）要求企业接受有偿宣传，征订报刊、图书、音像资料;</w:t>
      </w:r>
    </w:p>
    <w:p>
      <w:pPr>
        <w:spacing w:line="240" w:lineRule="auto"/>
        <w:ind w:firstLine="640"/>
        <w:jc w:val="left"/>
        <w:rPr>
          <w:rFonts w:hint="eastAsia"/>
          <w:sz w:val="32"/>
          <w:szCs w:val="32"/>
        </w:rPr>
      </w:pPr>
      <w:r>
        <w:rPr>
          <w:rFonts w:hint="eastAsia"/>
          <w:sz w:val="32"/>
          <w:szCs w:val="32"/>
        </w:rPr>
        <w:t>（七）强制企业购买指定商品，接受指定服务，向企业索要产品或者强行低价购买产品;</w:t>
      </w:r>
    </w:p>
    <w:p>
      <w:pPr>
        <w:spacing w:line="240" w:lineRule="auto"/>
        <w:ind w:firstLine="640"/>
        <w:jc w:val="left"/>
        <w:rPr>
          <w:rFonts w:hint="eastAsia"/>
          <w:sz w:val="32"/>
          <w:szCs w:val="32"/>
        </w:rPr>
      </w:pPr>
      <w:r>
        <w:rPr>
          <w:rFonts w:hint="eastAsia"/>
          <w:sz w:val="32"/>
          <w:szCs w:val="32"/>
        </w:rPr>
        <w:t>（八）要求企业接受法律、法规规定之外的培训;</w:t>
      </w:r>
    </w:p>
    <w:p>
      <w:pPr>
        <w:spacing w:line="240" w:lineRule="auto"/>
        <w:ind w:firstLine="640"/>
        <w:jc w:val="left"/>
        <w:rPr>
          <w:rFonts w:hint="eastAsia"/>
          <w:sz w:val="32"/>
          <w:szCs w:val="32"/>
        </w:rPr>
      </w:pPr>
      <w:r>
        <w:rPr>
          <w:rFonts w:hint="eastAsia"/>
          <w:sz w:val="32"/>
          <w:szCs w:val="32"/>
        </w:rPr>
        <w:t>（九）限制或者变相限制符合准入条件的企业参与招投标采购活动;</w:t>
      </w:r>
    </w:p>
    <w:p>
      <w:pPr>
        <w:spacing w:line="240" w:lineRule="auto"/>
        <w:ind w:firstLine="640"/>
        <w:jc w:val="left"/>
        <w:rPr>
          <w:rFonts w:hint="eastAsia"/>
          <w:sz w:val="32"/>
          <w:szCs w:val="32"/>
        </w:rPr>
      </w:pPr>
      <w:r>
        <w:rPr>
          <w:rFonts w:hint="eastAsia"/>
          <w:sz w:val="32"/>
          <w:szCs w:val="32"/>
        </w:rPr>
        <w:t>（十）要求企业无偿或者廉价提供劳务以及无偿占用企业财物;</w:t>
      </w:r>
    </w:p>
    <w:p>
      <w:pPr>
        <w:spacing w:line="240" w:lineRule="auto"/>
        <w:ind w:firstLine="640"/>
        <w:jc w:val="left"/>
        <w:rPr>
          <w:rFonts w:hint="eastAsia"/>
          <w:sz w:val="32"/>
          <w:szCs w:val="32"/>
        </w:rPr>
      </w:pPr>
      <w:r>
        <w:rPr>
          <w:rFonts w:hint="eastAsia"/>
          <w:sz w:val="32"/>
          <w:szCs w:val="32"/>
        </w:rPr>
        <w:t>（十一）将行政管理职能转化为有偿服务;</w:t>
      </w:r>
    </w:p>
    <w:p>
      <w:pPr>
        <w:spacing w:line="240" w:lineRule="auto"/>
        <w:ind w:firstLine="640"/>
        <w:jc w:val="left"/>
        <w:rPr>
          <w:rFonts w:hint="eastAsia"/>
          <w:sz w:val="32"/>
          <w:szCs w:val="32"/>
        </w:rPr>
      </w:pPr>
      <w:r>
        <w:rPr>
          <w:rFonts w:hint="eastAsia"/>
          <w:sz w:val="32"/>
          <w:szCs w:val="32"/>
        </w:rPr>
        <w:t>（十二）侵害企业知识产权，或者未经企业允许，公开涉及企业商业秘密的信息;</w:t>
      </w:r>
    </w:p>
    <w:p>
      <w:pPr>
        <w:spacing w:line="240" w:lineRule="auto"/>
        <w:ind w:firstLine="640"/>
        <w:jc w:val="left"/>
        <w:rPr>
          <w:rFonts w:hint="eastAsia"/>
          <w:sz w:val="32"/>
          <w:szCs w:val="32"/>
        </w:rPr>
      </w:pPr>
      <w:r>
        <w:rPr>
          <w:rFonts w:hint="eastAsia"/>
          <w:sz w:val="32"/>
          <w:szCs w:val="32"/>
        </w:rPr>
        <w:t>（十三）强制或者变相强制企业为其他经济组织的金融借款提供信用担保，或者以企业名义借款给其他经济组织使用;</w:t>
      </w:r>
    </w:p>
    <w:p>
      <w:pPr>
        <w:spacing w:line="240" w:lineRule="auto"/>
        <w:ind w:firstLine="640"/>
        <w:jc w:val="left"/>
        <w:rPr>
          <w:rFonts w:hint="eastAsia"/>
          <w:sz w:val="32"/>
          <w:szCs w:val="32"/>
        </w:rPr>
      </w:pPr>
      <w:r>
        <w:rPr>
          <w:rFonts w:hint="eastAsia"/>
          <w:sz w:val="32"/>
          <w:szCs w:val="32"/>
        </w:rPr>
        <w:t>（十四）强制或者变相强制企业在接受有关专项性、阶段性监督检查时暂停法律、法规许可的正常生产经营活动;</w:t>
      </w:r>
    </w:p>
    <w:p>
      <w:pPr>
        <w:spacing w:line="240" w:lineRule="auto"/>
        <w:ind w:firstLine="640"/>
        <w:jc w:val="left"/>
        <w:rPr>
          <w:rFonts w:hint="eastAsia"/>
          <w:sz w:val="32"/>
          <w:szCs w:val="32"/>
        </w:rPr>
      </w:pPr>
      <w:r>
        <w:rPr>
          <w:rFonts w:hint="eastAsia"/>
          <w:sz w:val="32"/>
          <w:szCs w:val="32"/>
        </w:rPr>
        <w:t>（十五）向企业摊派、索要赞助以及强制企业捐赠捐献、参加商业保险;</w:t>
      </w:r>
    </w:p>
    <w:p>
      <w:pPr>
        <w:spacing w:line="240" w:lineRule="auto"/>
        <w:ind w:firstLine="640"/>
        <w:jc w:val="left"/>
        <w:rPr>
          <w:rFonts w:hint="eastAsia"/>
          <w:sz w:val="32"/>
          <w:szCs w:val="32"/>
        </w:rPr>
      </w:pPr>
      <w:r>
        <w:rPr>
          <w:rFonts w:hint="eastAsia"/>
          <w:sz w:val="32"/>
          <w:szCs w:val="32"/>
        </w:rPr>
        <w:t>（十六）其他侵害企业合法权益的行为。</w:t>
      </w:r>
    </w:p>
    <w:p>
      <w:pPr>
        <w:spacing w:line="240" w:lineRule="auto"/>
        <w:ind w:firstLine="640"/>
        <w:jc w:val="left"/>
        <w:rPr>
          <w:rFonts w:hint="eastAsia"/>
          <w:sz w:val="32"/>
          <w:szCs w:val="32"/>
        </w:rPr>
      </w:pPr>
      <w:r>
        <w:rPr>
          <w:rFonts w:hint="eastAsia" w:ascii="黑体" w:eastAsia="黑体"/>
          <w:sz w:val="32"/>
          <w:szCs w:val="32"/>
        </w:rPr>
        <w:t>第二十七条　</w:t>
      </w:r>
      <w:r>
        <w:rPr>
          <w:rFonts w:hint="eastAsia"/>
          <w:sz w:val="32"/>
          <w:szCs w:val="32"/>
        </w:rPr>
        <w:t>市营商环境建设监督行政管理部门应当建立和完善优化营商环境评价制度，定期对区、县（市）人民政府和政府有关部门的营商环境状况进行测评，将营商环境工作纳入政府绩效考核体系，并向社会公布。</w:t>
      </w:r>
    </w:p>
    <w:p>
      <w:pPr>
        <w:spacing w:line="240" w:lineRule="auto"/>
        <w:ind w:firstLine="640"/>
        <w:jc w:val="left"/>
        <w:rPr>
          <w:rFonts w:hint="eastAsia"/>
          <w:sz w:val="32"/>
          <w:szCs w:val="32"/>
        </w:rPr>
      </w:pPr>
      <w:r>
        <w:rPr>
          <w:rFonts w:hint="eastAsia" w:ascii="黑体" w:eastAsia="黑体"/>
          <w:sz w:val="32"/>
          <w:szCs w:val="32"/>
        </w:rPr>
        <w:t>第二十八条　</w:t>
      </w:r>
      <w:r>
        <w:rPr>
          <w:rFonts w:hint="eastAsia"/>
          <w:sz w:val="32"/>
          <w:szCs w:val="32"/>
        </w:rPr>
        <w:t>市和区、县（市）人民政府应当组织开展行政效能监察，对本级人民政府有关部门及下级人民政府实施本办法情况进行监督检查，对存在的问题依法及时纠正。</w:t>
      </w:r>
    </w:p>
    <w:p>
      <w:pPr>
        <w:spacing w:line="240" w:lineRule="auto"/>
        <w:ind w:firstLine="640"/>
        <w:jc w:val="left"/>
        <w:rPr>
          <w:rFonts w:hint="eastAsia"/>
          <w:sz w:val="32"/>
          <w:szCs w:val="32"/>
        </w:rPr>
      </w:pPr>
      <w:r>
        <w:rPr>
          <w:rFonts w:hint="eastAsia"/>
          <w:sz w:val="32"/>
          <w:szCs w:val="32"/>
        </w:rPr>
        <w:t>政府有关部门应当对所属机构及其工作人员执行本办法情况建立监督检查制度，对存在的问题及时发现并予以处理。</w:t>
      </w:r>
    </w:p>
    <w:p>
      <w:pPr>
        <w:spacing w:line="240" w:lineRule="auto"/>
        <w:ind w:firstLine="640"/>
        <w:jc w:val="left"/>
        <w:rPr>
          <w:rFonts w:hint="eastAsia"/>
          <w:sz w:val="32"/>
          <w:szCs w:val="32"/>
        </w:rPr>
      </w:pPr>
      <w:r>
        <w:rPr>
          <w:rFonts w:hint="eastAsia"/>
          <w:sz w:val="32"/>
          <w:szCs w:val="32"/>
        </w:rPr>
        <w:t>监察机关应当对政府有关部门及其工作人员遵守和执行本办法的情况实施监察，对不依法履行法定职责的实行问责、追责。</w:t>
      </w:r>
    </w:p>
    <w:p>
      <w:pPr>
        <w:spacing w:line="240" w:lineRule="auto"/>
        <w:ind w:firstLine="640"/>
        <w:jc w:val="left"/>
        <w:rPr>
          <w:rFonts w:hint="eastAsia"/>
          <w:sz w:val="32"/>
          <w:szCs w:val="32"/>
        </w:rPr>
      </w:pPr>
      <w:r>
        <w:rPr>
          <w:rFonts w:hint="eastAsia" w:ascii="黑体" w:eastAsia="黑体"/>
          <w:sz w:val="32"/>
          <w:szCs w:val="32"/>
        </w:rPr>
        <w:t>第二十九条　</w:t>
      </w:r>
      <w:r>
        <w:rPr>
          <w:rFonts w:hint="eastAsia"/>
          <w:sz w:val="32"/>
          <w:szCs w:val="32"/>
        </w:rPr>
        <w:t>市和区（县）市人民政府应当建立健全容错纠错机制。对行政机关工作人员在依法依规履行职责过程中出现失误或者错误，尚未造成重特大安全责任事故、严重环境污染、生态破坏责任事故的，符合下列情形之一，可以容错免责。</w:t>
      </w:r>
    </w:p>
    <w:p>
      <w:pPr>
        <w:spacing w:line="240" w:lineRule="auto"/>
        <w:ind w:firstLine="640"/>
        <w:jc w:val="left"/>
        <w:rPr>
          <w:rFonts w:hint="eastAsia"/>
          <w:sz w:val="32"/>
          <w:szCs w:val="32"/>
        </w:rPr>
      </w:pPr>
      <w:r>
        <w:rPr>
          <w:rFonts w:hint="eastAsia"/>
          <w:sz w:val="32"/>
          <w:szCs w:val="32"/>
        </w:rPr>
        <w:t>（一）不违反政治纪律、政治规矩的；</w:t>
      </w:r>
    </w:p>
    <w:p>
      <w:pPr>
        <w:spacing w:line="240" w:lineRule="auto"/>
        <w:ind w:firstLine="640"/>
        <w:jc w:val="left"/>
        <w:rPr>
          <w:rFonts w:hint="eastAsia"/>
          <w:sz w:val="32"/>
          <w:szCs w:val="32"/>
        </w:rPr>
      </w:pPr>
      <w:r>
        <w:rPr>
          <w:rFonts w:hint="eastAsia"/>
          <w:sz w:val="32"/>
          <w:szCs w:val="32"/>
        </w:rPr>
        <w:t>（二）法律、法规没有明令禁止的；</w:t>
      </w:r>
    </w:p>
    <w:p>
      <w:pPr>
        <w:spacing w:line="240" w:lineRule="auto"/>
        <w:ind w:firstLine="640"/>
        <w:jc w:val="left"/>
        <w:rPr>
          <w:rFonts w:hint="eastAsia"/>
          <w:sz w:val="32"/>
          <w:szCs w:val="32"/>
        </w:rPr>
      </w:pPr>
      <w:r>
        <w:rPr>
          <w:rFonts w:hint="eastAsia"/>
          <w:sz w:val="32"/>
          <w:szCs w:val="32"/>
        </w:rPr>
        <w:t>（三）符合中央大政方针，符合省委、省政府以及市委、市政府决策精神的；</w:t>
      </w:r>
    </w:p>
    <w:p>
      <w:pPr>
        <w:spacing w:line="240" w:lineRule="auto"/>
        <w:ind w:firstLine="640"/>
        <w:jc w:val="left"/>
        <w:rPr>
          <w:rFonts w:hint="eastAsia"/>
          <w:sz w:val="32"/>
          <w:szCs w:val="32"/>
        </w:rPr>
      </w:pPr>
      <w:r>
        <w:rPr>
          <w:rFonts w:hint="eastAsia"/>
          <w:sz w:val="32"/>
          <w:szCs w:val="32"/>
        </w:rPr>
        <w:t>（四）经过集体研究、民主决策并有相关证实材料的；</w:t>
      </w:r>
    </w:p>
    <w:p>
      <w:pPr>
        <w:spacing w:line="240" w:lineRule="auto"/>
        <w:ind w:firstLine="640"/>
        <w:jc w:val="left"/>
        <w:rPr>
          <w:rFonts w:hint="eastAsia"/>
          <w:sz w:val="32"/>
          <w:szCs w:val="32"/>
        </w:rPr>
      </w:pPr>
      <w:r>
        <w:rPr>
          <w:rFonts w:hint="eastAsia"/>
          <w:sz w:val="32"/>
          <w:szCs w:val="32"/>
        </w:rPr>
        <w:t>（五）没有为个人和部门谋取私利的；</w:t>
      </w:r>
    </w:p>
    <w:p>
      <w:pPr>
        <w:spacing w:line="240" w:lineRule="auto"/>
        <w:ind w:firstLine="640"/>
        <w:jc w:val="left"/>
        <w:rPr>
          <w:rFonts w:hint="eastAsia"/>
          <w:sz w:val="32"/>
          <w:szCs w:val="32"/>
        </w:rPr>
      </w:pPr>
      <w:r>
        <w:rPr>
          <w:rFonts w:hint="eastAsia"/>
          <w:sz w:val="32"/>
          <w:szCs w:val="32"/>
        </w:rPr>
        <w:t>（六）积极配合调查，主动采取措施最大限度挽回损失、消除不良影响的；</w:t>
      </w:r>
    </w:p>
    <w:p>
      <w:pPr>
        <w:spacing w:line="240" w:lineRule="auto"/>
        <w:ind w:firstLine="640"/>
        <w:jc w:val="left"/>
        <w:rPr>
          <w:rFonts w:hint="eastAsia"/>
          <w:sz w:val="32"/>
          <w:szCs w:val="32"/>
        </w:rPr>
      </w:pPr>
      <w:r>
        <w:rPr>
          <w:rFonts w:hint="eastAsia"/>
          <w:sz w:val="32"/>
          <w:szCs w:val="32"/>
        </w:rPr>
        <w:t>（七）其他法律、法规规定的可以容错免责的行为。</w:t>
      </w:r>
    </w:p>
    <w:p>
      <w:pPr>
        <w:spacing w:line="240" w:lineRule="auto"/>
        <w:ind w:firstLine="640"/>
        <w:jc w:val="left"/>
        <w:rPr>
          <w:rFonts w:hint="eastAsia"/>
          <w:sz w:val="32"/>
          <w:szCs w:val="32"/>
        </w:rPr>
      </w:pPr>
      <w:r>
        <w:rPr>
          <w:rFonts w:hint="eastAsia" w:ascii="黑体" w:eastAsia="黑体"/>
          <w:sz w:val="32"/>
          <w:szCs w:val="32"/>
        </w:rPr>
        <w:t>第三十条　</w:t>
      </w:r>
      <w:r>
        <w:rPr>
          <w:rFonts w:hint="eastAsia"/>
          <w:sz w:val="32"/>
          <w:szCs w:val="32"/>
        </w:rPr>
        <w:t>市和区、县（市）人民政府应当建立健全受理损害营商环境行为的投诉、举报制度，设立投诉、举报信息网络平台，在政府及其有关部门网站、民心网公布投诉、举报电话和信箱，接受投诉、举报。</w:t>
      </w:r>
    </w:p>
    <w:p>
      <w:pPr>
        <w:spacing w:line="240" w:lineRule="auto"/>
        <w:ind w:firstLine="640"/>
        <w:jc w:val="left"/>
        <w:rPr>
          <w:rFonts w:hint="eastAsia"/>
          <w:sz w:val="32"/>
          <w:szCs w:val="32"/>
        </w:rPr>
      </w:pPr>
      <w:r>
        <w:rPr>
          <w:rFonts w:hint="eastAsia"/>
          <w:sz w:val="32"/>
          <w:szCs w:val="32"/>
        </w:rPr>
        <w:t>市和区、县（市）人民政府营商环境建设监督行政管理部门应当及时受理并依法处理投诉、举报，并自收到投诉、举报之日起七个工作日内书面答复投诉者、举报者。</w:t>
      </w:r>
    </w:p>
    <w:p>
      <w:pPr>
        <w:spacing w:line="240" w:lineRule="auto"/>
        <w:ind w:firstLine="640"/>
        <w:jc w:val="left"/>
        <w:rPr>
          <w:rFonts w:hint="eastAsia"/>
          <w:sz w:val="32"/>
          <w:szCs w:val="32"/>
        </w:rPr>
      </w:pPr>
      <w:r>
        <w:rPr>
          <w:rFonts w:hint="eastAsia"/>
          <w:sz w:val="32"/>
          <w:szCs w:val="32"/>
        </w:rPr>
        <w:t>市和区、县（市）人民政府有关部门应当建立特约监督员制度，从人大代表、政协委员、民主党派、工商联、无党派人士、劳动模范、企业职工、城乡居民代表中聘请特约监督员，协助开展优化营商环境监督工作。</w:t>
      </w:r>
    </w:p>
    <w:p>
      <w:pPr>
        <w:spacing w:line="240" w:lineRule="auto"/>
        <w:ind w:firstLine="640"/>
        <w:jc w:val="left"/>
        <w:rPr>
          <w:rFonts w:hint="eastAsia"/>
          <w:sz w:val="32"/>
          <w:szCs w:val="32"/>
        </w:rPr>
      </w:pPr>
      <w:r>
        <w:rPr>
          <w:rFonts w:hint="eastAsia" w:ascii="黑体" w:eastAsia="黑体"/>
          <w:sz w:val="32"/>
          <w:szCs w:val="32"/>
        </w:rPr>
        <w:t>第三十一条　</w:t>
      </w:r>
      <w:r>
        <w:rPr>
          <w:rFonts w:hint="eastAsia"/>
          <w:sz w:val="32"/>
          <w:szCs w:val="32"/>
        </w:rPr>
        <w:t>政府有关部门工作人员违反本办法规定，由有关部门视情节轻重按照下列方式予以责任追究，需要追究党纪责任的，按照党规党纪予以追究：</w:t>
      </w:r>
    </w:p>
    <w:p>
      <w:pPr>
        <w:spacing w:line="240" w:lineRule="auto"/>
        <w:ind w:firstLine="640"/>
        <w:jc w:val="left"/>
        <w:rPr>
          <w:rFonts w:hint="eastAsia"/>
          <w:sz w:val="32"/>
          <w:szCs w:val="32"/>
        </w:rPr>
      </w:pPr>
      <w:r>
        <w:rPr>
          <w:rFonts w:hint="eastAsia"/>
          <w:sz w:val="32"/>
          <w:szCs w:val="32"/>
        </w:rPr>
        <w:t>（一）情节较轻的，给予责令限期整改、责令书面检查、公开道歉、通报批评、诫勉谈话处理;</w:t>
      </w:r>
    </w:p>
    <w:p>
      <w:pPr>
        <w:spacing w:line="240" w:lineRule="auto"/>
        <w:ind w:firstLine="640"/>
        <w:jc w:val="left"/>
        <w:rPr>
          <w:rFonts w:hint="eastAsia"/>
          <w:sz w:val="32"/>
          <w:szCs w:val="32"/>
        </w:rPr>
      </w:pPr>
      <w:r>
        <w:rPr>
          <w:rFonts w:hint="eastAsia"/>
          <w:sz w:val="32"/>
          <w:szCs w:val="32"/>
        </w:rPr>
        <w:t>（二）情节较重的，给予停职检查、调整职务处理;</w:t>
      </w:r>
    </w:p>
    <w:p>
      <w:pPr>
        <w:spacing w:line="240" w:lineRule="auto"/>
        <w:ind w:firstLine="640"/>
        <w:jc w:val="left"/>
        <w:rPr>
          <w:rFonts w:hint="eastAsia"/>
          <w:sz w:val="32"/>
          <w:szCs w:val="32"/>
        </w:rPr>
      </w:pPr>
      <w:r>
        <w:rPr>
          <w:rFonts w:hint="eastAsia"/>
          <w:sz w:val="32"/>
          <w:szCs w:val="32"/>
        </w:rPr>
        <w:t>（三）情节严重的，给予引咎辞职、责令辞职、降职、免职、辞退或者解聘处理。</w:t>
      </w:r>
    </w:p>
    <w:p>
      <w:pPr>
        <w:spacing w:line="240" w:lineRule="auto"/>
        <w:ind w:firstLine="640"/>
        <w:jc w:val="left"/>
        <w:rPr>
          <w:rFonts w:hint="eastAsia"/>
          <w:sz w:val="32"/>
          <w:szCs w:val="32"/>
        </w:rPr>
      </w:pPr>
      <w:r>
        <w:rPr>
          <w:rFonts w:hint="eastAsia"/>
          <w:sz w:val="32"/>
          <w:szCs w:val="32"/>
        </w:rPr>
        <w:t>以上责任追究方式可以单独或者合并适用。</w:t>
      </w:r>
    </w:p>
    <w:p>
      <w:pPr>
        <w:spacing w:line="240" w:lineRule="auto"/>
        <w:ind w:firstLine="640"/>
        <w:jc w:val="left"/>
        <w:rPr>
          <w:rFonts w:hint="eastAsia"/>
          <w:sz w:val="32"/>
          <w:szCs w:val="32"/>
        </w:rPr>
      </w:pPr>
      <w:r>
        <w:rPr>
          <w:rFonts w:hint="eastAsia" w:ascii="黑体" w:eastAsia="黑体"/>
          <w:sz w:val="32"/>
          <w:szCs w:val="32"/>
        </w:rPr>
        <w:t>第三十二条　</w:t>
      </w:r>
      <w:r>
        <w:rPr>
          <w:rFonts w:hint="eastAsia"/>
          <w:sz w:val="32"/>
          <w:szCs w:val="32"/>
        </w:rPr>
        <w:t>政府有关部门工作人员违反本办法规定，损害营商环境有下列情形之一的，应当从重处理：</w:t>
      </w:r>
    </w:p>
    <w:p>
      <w:pPr>
        <w:spacing w:line="240" w:lineRule="auto"/>
        <w:ind w:firstLine="640"/>
        <w:jc w:val="left"/>
        <w:rPr>
          <w:rFonts w:hint="eastAsia"/>
          <w:sz w:val="32"/>
          <w:szCs w:val="32"/>
        </w:rPr>
      </w:pPr>
      <w:r>
        <w:rPr>
          <w:rFonts w:hint="eastAsia"/>
          <w:sz w:val="32"/>
          <w:szCs w:val="32"/>
        </w:rPr>
        <w:t>（一）一年内受到两次以上处理的;</w:t>
      </w:r>
    </w:p>
    <w:p>
      <w:pPr>
        <w:spacing w:line="240" w:lineRule="auto"/>
        <w:ind w:firstLine="640"/>
        <w:jc w:val="left"/>
        <w:rPr>
          <w:rFonts w:hint="eastAsia"/>
          <w:sz w:val="32"/>
          <w:szCs w:val="32"/>
        </w:rPr>
      </w:pPr>
      <w:r>
        <w:rPr>
          <w:rFonts w:hint="eastAsia"/>
          <w:sz w:val="32"/>
          <w:szCs w:val="32"/>
        </w:rPr>
        <w:t>（二）拒不承认错误，不及时采取补救措施的;</w:t>
      </w:r>
    </w:p>
    <w:p>
      <w:pPr>
        <w:spacing w:line="240" w:lineRule="auto"/>
        <w:ind w:firstLine="640"/>
        <w:jc w:val="left"/>
        <w:rPr>
          <w:rFonts w:hint="eastAsia"/>
          <w:sz w:val="32"/>
          <w:szCs w:val="32"/>
        </w:rPr>
      </w:pPr>
      <w:r>
        <w:rPr>
          <w:rFonts w:hint="eastAsia"/>
          <w:sz w:val="32"/>
          <w:szCs w:val="32"/>
        </w:rPr>
        <w:t>（三）干扰、阻碍调查处理的;</w:t>
      </w:r>
    </w:p>
    <w:p>
      <w:pPr>
        <w:spacing w:line="240" w:lineRule="auto"/>
        <w:ind w:firstLine="640"/>
        <w:jc w:val="left"/>
        <w:rPr>
          <w:rFonts w:hint="eastAsia"/>
          <w:sz w:val="32"/>
          <w:szCs w:val="32"/>
        </w:rPr>
      </w:pPr>
      <w:r>
        <w:rPr>
          <w:rFonts w:hint="eastAsia"/>
          <w:sz w:val="32"/>
          <w:szCs w:val="32"/>
        </w:rPr>
        <w:t>（四）打击、报复、威胁投诉人、举报人、办案人、证人及其他相关人员的;</w:t>
      </w:r>
    </w:p>
    <w:p>
      <w:pPr>
        <w:spacing w:line="240" w:lineRule="auto"/>
        <w:ind w:firstLine="640"/>
        <w:jc w:val="left"/>
        <w:rPr>
          <w:rFonts w:hint="eastAsia"/>
          <w:sz w:val="32"/>
          <w:szCs w:val="32"/>
        </w:rPr>
      </w:pPr>
      <w:r>
        <w:rPr>
          <w:rFonts w:hint="eastAsia"/>
          <w:sz w:val="32"/>
          <w:szCs w:val="32"/>
        </w:rPr>
        <w:t>（五）弄虚作假、隐瞒事实真相的;</w:t>
      </w:r>
    </w:p>
    <w:p>
      <w:pPr>
        <w:spacing w:line="240" w:lineRule="auto"/>
        <w:ind w:firstLine="640"/>
        <w:jc w:val="left"/>
        <w:rPr>
          <w:rFonts w:hint="eastAsia"/>
          <w:sz w:val="32"/>
          <w:szCs w:val="32"/>
        </w:rPr>
      </w:pPr>
      <w:r>
        <w:rPr>
          <w:rFonts w:hint="eastAsia"/>
          <w:sz w:val="32"/>
          <w:szCs w:val="32"/>
        </w:rPr>
        <w:t>（六）与违法违纪人员相互勾结，包庇、纵容、协从其违纪违法行为，或者为其充当保护伞的;</w:t>
      </w:r>
    </w:p>
    <w:p>
      <w:pPr>
        <w:spacing w:line="240" w:lineRule="auto"/>
        <w:ind w:firstLine="640"/>
        <w:jc w:val="left"/>
        <w:rPr>
          <w:rFonts w:hint="eastAsia"/>
          <w:sz w:val="32"/>
          <w:szCs w:val="32"/>
        </w:rPr>
      </w:pPr>
      <w:r>
        <w:rPr>
          <w:rFonts w:hint="eastAsia"/>
          <w:sz w:val="32"/>
          <w:szCs w:val="32"/>
        </w:rPr>
        <w:t>（七）其他应当从重处理的情形。</w:t>
      </w:r>
    </w:p>
    <w:p>
      <w:pPr>
        <w:spacing w:line="240" w:lineRule="auto"/>
        <w:ind w:firstLine="640"/>
        <w:jc w:val="left"/>
        <w:rPr>
          <w:rFonts w:hint="eastAsia"/>
          <w:sz w:val="32"/>
          <w:szCs w:val="32"/>
        </w:rPr>
      </w:pPr>
      <w:r>
        <w:rPr>
          <w:rFonts w:hint="eastAsia"/>
          <w:sz w:val="32"/>
          <w:szCs w:val="32"/>
        </w:rPr>
        <w:t>对情节轻微，未造成损失或者不良影响，积极配合调查，并能够主动纠正错误的，可以从轻或者免予处理。</w:t>
      </w:r>
    </w:p>
    <w:p>
      <w:pPr>
        <w:spacing w:line="240" w:lineRule="auto"/>
        <w:ind w:firstLine="640"/>
        <w:jc w:val="left"/>
        <w:rPr>
          <w:rFonts w:hint="eastAsia"/>
          <w:sz w:val="32"/>
          <w:szCs w:val="32"/>
        </w:rPr>
      </w:pPr>
      <w:r>
        <w:rPr>
          <w:rFonts w:hint="eastAsia" w:ascii="黑体" w:eastAsia="黑体"/>
          <w:sz w:val="32"/>
          <w:szCs w:val="32"/>
        </w:rPr>
        <w:t>第三十三条　</w:t>
      </w:r>
      <w:r>
        <w:rPr>
          <w:rFonts w:hint="eastAsia"/>
          <w:sz w:val="32"/>
          <w:szCs w:val="32"/>
        </w:rPr>
        <w:t>政府有关部门违反本办法规定，有损害营商环境行为的，由监察机关根据有关规定给予相应处理;受到责任追究的，取消当年评先评优资格。</w:t>
      </w:r>
    </w:p>
    <w:p>
      <w:pPr>
        <w:spacing w:line="240" w:lineRule="auto"/>
        <w:ind w:firstLine="640"/>
        <w:jc w:val="left"/>
        <w:rPr>
          <w:rFonts w:hint="eastAsia"/>
          <w:sz w:val="32"/>
          <w:szCs w:val="32"/>
        </w:rPr>
      </w:pPr>
      <w:r>
        <w:rPr>
          <w:rFonts w:hint="eastAsia"/>
          <w:sz w:val="32"/>
          <w:szCs w:val="32"/>
        </w:rPr>
        <w:t>政府有关部门工作人员违反本办法规定，受到通报批评、公开道歉、停职检查、调离工作岗位责任追究的，取消当年评先评优资格;受到引咎辞职、责令辞职、免职责任追究的，年度考核评为不称职，一年内不得重新担任与其原任职务相当的领导职务。</w:t>
      </w:r>
    </w:p>
    <w:p>
      <w:pPr>
        <w:spacing w:line="240" w:lineRule="auto"/>
        <w:ind w:firstLine="640"/>
        <w:jc w:val="left"/>
        <w:rPr>
          <w:rFonts w:hint="eastAsia"/>
          <w:sz w:val="32"/>
          <w:szCs w:val="32"/>
        </w:rPr>
      </w:pPr>
      <w:r>
        <w:rPr>
          <w:rFonts w:hint="eastAsia" w:ascii="黑体" w:eastAsia="黑体"/>
          <w:sz w:val="32"/>
          <w:szCs w:val="32"/>
        </w:rPr>
        <w:t>第三十四条　</w:t>
      </w:r>
      <w:r>
        <w:rPr>
          <w:rFonts w:hint="eastAsia"/>
          <w:sz w:val="32"/>
          <w:szCs w:val="32"/>
        </w:rPr>
        <w:t>被追究责任人员对追究责任处理决定不服提出复核、申诉的，按照国家有关法律、法规规定办理。</w:t>
      </w:r>
    </w:p>
    <w:p>
      <w:pPr>
        <w:spacing w:line="240" w:lineRule="auto"/>
        <w:ind w:firstLine="640"/>
        <w:jc w:val="left"/>
        <w:rPr>
          <w:rFonts w:hint="eastAsia"/>
          <w:sz w:val="32"/>
          <w:szCs w:val="32"/>
        </w:rPr>
      </w:pPr>
      <w:r>
        <w:rPr>
          <w:rFonts w:hint="eastAsia" w:ascii="黑体" w:eastAsia="黑体"/>
          <w:sz w:val="32"/>
          <w:szCs w:val="32"/>
        </w:rPr>
        <w:t>第三十五条　</w:t>
      </w:r>
      <w:r>
        <w:rPr>
          <w:rFonts w:hint="eastAsia"/>
          <w:sz w:val="32"/>
          <w:szCs w:val="32"/>
        </w:rPr>
        <w:t>违反本办法规定的行为，法律、法规有处罚规定的，从其规定。</w:t>
      </w:r>
    </w:p>
    <w:p>
      <w:pPr>
        <w:spacing w:line="240" w:lineRule="auto"/>
        <w:ind w:firstLine="640"/>
        <w:jc w:val="left"/>
        <w:rPr>
          <w:sz w:val="32"/>
          <w:szCs w:val="32"/>
        </w:rPr>
      </w:pPr>
      <w:r>
        <w:rPr>
          <w:rFonts w:hint="eastAsia" w:ascii="黑体" w:eastAsia="黑体"/>
          <w:sz w:val="32"/>
          <w:szCs w:val="32"/>
        </w:rPr>
        <w:t>第三十六条　</w:t>
      </w:r>
      <w:r>
        <w:rPr>
          <w:rFonts w:hint="eastAsia"/>
          <w:sz w:val="32"/>
          <w:szCs w:val="32"/>
        </w:rPr>
        <w:t>本办法自2018年1月1日起施行。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5A00"/>
    <w:rsid w:val="00172A27"/>
    <w:rsid w:val="00531FCC"/>
    <w:rsid w:val="006B0EDA"/>
    <w:rsid w:val="006D58CA"/>
    <w:rsid w:val="00993565"/>
    <w:rsid w:val="009971AE"/>
    <w:rsid w:val="00B73427"/>
    <w:rsid w:val="00D46C1F"/>
    <w:rsid w:val="00D51F4C"/>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DFDA96"/>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9E25CE"/>
    <w:rsid w:val="7FCC2834"/>
    <w:rsid w:val="7FF36D61"/>
    <w:rsid w:val="976DC8C5"/>
    <w:rsid w:val="D5E7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821</Words>
  <Characters>4680</Characters>
  <Lines>39</Lines>
  <Paragraphs>10</Paragraphs>
  <TotalTime>3</TotalTime>
  <ScaleCrop>false</ScaleCrop>
  <LinksUpToDate>false</LinksUpToDate>
  <CharactersWithSpaces>5491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2023-03-15T15:18:48Z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