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asciiTheme="minorEastAsia" w:hAnsiTheme="minorEastAsia" w:eastAsiaTheme="minorEastAsia" w:cstheme="minorEastAsia"/>
          <w:sz w:val="44"/>
          <w:szCs w:val="44"/>
        </w:rPr>
      </w:pPr>
      <w:bookmarkStart w:id="0" w:name="_Toc13815"/>
    </w:p>
    <w:p>
      <w:pPr>
        <w:spacing w:line="240" w:lineRule="auto"/>
        <w:ind w:firstLine="0" w:firstLineChars="0"/>
        <w:jc w:val="center"/>
        <w:rPr>
          <w:rFonts w:asciiTheme="minorEastAsia" w:hAnsiTheme="minorEastAsia" w:eastAsiaTheme="minorEastAsia" w:cstheme="minorEastAsia"/>
          <w:sz w:val="44"/>
          <w:szCs w:val="44"/>
        </w:rPr>
      </w:pPr>
    </w:p>
    <w:bookmarkEnd w:id="0"/>
    <w:p>
      <w:pPr>
        <w:spacing w:line="576" w:lineRule="exact"/>
        <w:ind w:firstLine="880"/>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沈阳市地下综合管廊管理暂行办法</w:t>
      </w:r>
    </w:p>
    <w:p>
      <w:pPr>
        <w:spacing w:line="576" w:lineRule="exact"/>
        <w:ind w:left="0" w:leftChars="0" w:firstLine="0" w:firstLineChars="0"/>
        <w:jc w:val="center"/>
        <w:rPr>
          <w:rFonts w:hint="eastAsia" w:ascii="楷体_GB2312" w:eastAsia="楷体_GB2312"/>
          <w:sz w:val="32"/>
          <w:szCs w:val="32"/>
        </w:rPr>
      </w:pPr>
      <w:bookmarkStart w:id="1" w:name="_GoBack"/>
      <w:bookmarkEnd w:id="1"/>
      <w:r>
        <w:rPr>
          <w:rFonts w:hint="eastAsia" w:ascii="楷体_GB2312" w:eastAsia="楷体_GB2312"/>
          <w:sz w:val="32"/>
          <w:szCs w:val="32"/>
        </w:rPr>
        <w:t>（2018年12月27日沈阳市人民政府第78号令公布　自2019年2月1日起施行）</w:t>
      </w:r>
    </w:p>
    <w:p>
      <w:pPr>
        <w:spacing w:line="540" w:lineRule="exact"/>
        <w:ind w:firstLine="640"/>
        <w:jc w:val="left"/>
        <w:rPr>
          <w:sz w:val="32"/>
          <w:szCs w:val="32"/>
        </w:rPr>
      </w:pPr>
    </w:p>
    <w:p>
      <w:pPr>
        <w:spacing w:line="576" w:lineRule="exact"/>
        <w:ind w:firstLine="640"/>
        <w:jc w:val="left"/>
        <w:rPr>
          <w:rFonts w:hint="eastAsia"/>
          <w:sz w:val="32"/>
          <w:szCs w:val="32"/>
        </w:rPr>
      </w:pPr>
      <w:r>
        <w:rPr>
          <w:rFonts w:hint="eastAsia" w:ascii="黑体" w:hAnsi="黑体" w:eastAsia="黑体" w:cs="黑体"/>
          <w:sz w:val="32"/>
          <w:szCs w:val="32"/>
        </w:rPr>
        <w:t>第一条</w:t>
      </w:r>
      <w:r>
        <w:rPr>
          <w:rFonts w:hint="eastAsia" w:ascii="黑体" w:eastAsia="黑体"/>
          <w:sz w:val="32"/>
          <w:szCs w:val="32"/>
        </w:rPr>
        <w:t xml:space="preserve">  </w:t>
      </w:r>
      <w:r>
        <w:rPr>
          <w:rFonts w:hint="eastAsia"/>
          <w:sz w:val="32"/>
          <w:szCs w:val="32"/>
        </w:rPr>
        <w:t>为了规范本市地下综合管廊规划、建设、运营和维护，集约利用城市建设用地，提高基础设施建设管理水平，依据相关法律法规，结合本市实际，制定本办法。</w:t>
      </w:r>
    </w:p>
    <w:p>
      <w:pPr>
        <w:spacing w:line="576" w:lineRule="exact"/>
        <w:ind w:firstLine="640"/>
        <w:jc w:val="left"/>
        <w:rPr>
          <w:rFonts w:hint="eastAsia"/>
          <w:sz w:val="32"/>
          <w:szCs w:val="32"/>
        </w:rPr>
      </w:pPr>
      <w:r>
        <w:rPr>
          <w:rFonts w:hint="eastAsia" w:ascii="黑体" w:hAnsi="黑体" w:eastAsia="黑体" w:cs="黑体"/>
          <w:sz w:val="32"/>
          <w:szCs w:val="32"/>
        </w:rPr>
        <w:t>第二条</w:t>
      </w:r>
      <w:r>
        <w:rPr>
          <w:rFonts w:hint="eastAsia"/>
          <w:sz w:val="32"/>
          <w:szCs w:val="32"/>
        </w:rPr>
        <w:t xml:space="preserve">  本办法所称地下综合管廊，是指建于城市地下，用于容纳两类及以上城市工程管线的构筑物及附属设施。</w:t>
      </w:r>
    </w:p>
    <w:p>
      <w:pPr>
        <w:spacing w:line="576" w:lineRule="exact"/>
        <w:ind w:firstLine="640"/>
        <w:jc w:val="left"/>
        <w:rPr>
          <w:rFonts w:hint="eastAsia"/>
          <w:sz w:val="32"/>
          <w:szCs w:val="32"/>
        </w:rPr>
      </w:pPr>
      <w:r>
        <w:rPr>
          <w:rFonts w:hint="eastAsia"/>
          <w:sz w:val="32"/>
          <w:szCs w:val="32"/>
        </w:rPr>
        <w:t>前款所称城市工程管线，包括城市范围内为满足生活、生产需要的给水、排水、燃气、热力、电力、通信、广播电视等市政公用管线，不包含工业管线。</w:t>
      </w:r>
    </w:p>
    <w:p>
      <w:pPr>
        <w:spacing w:line="576" w:lineRule="exact"/>
        <w:ind w:firstLine="640"/>
        <w:jc w:val="left"/>
        <w:rPr>
          <w:rFonts w:hint="eastAsia"/>
          <w:sz w:val="32"/>
          <w:szCs w:val="32"/>
        </w:rPr>
      </w:pPr>
      <w:r>
        <w:rPr>
          <w:rFonts w:hint="eastAsia"/>
          <w:sz w:val="32"/>
          <w:szCs w:val="32"/>
        </w:rPr>
        <w:t>附属设施，包括用于维护管廊正常运行的消防、供电、照明、监控与报警、通风、排水、标识等设施、设备。</w:t>
      </w:r>
    </w:p>
    <w:p>
      <w:pPr>
        <w:spacing w:line="576" w:lineRule="exact"/>
        <w:ind w:firstLine="640"/>
        <w:jc w:val="left"/>
        <w:rPr>
          <w:rFonts w:hint="eastAsia"/>
          <w:sz w:val="32"/>
          <w:szCs w:val="32"/>
        </w:rPr>
      </w:pPr>
      <w:r>
        <w:rPr>
          <w:rFonts w:hint="eastAsia" w:ascii="黑体" w:hAnsi="黑体" w:eastAsia="黑体" w:cs="黑体"/>
          <w:sz w:val="32"/>
          <w:szCs w:val="32"/>
        </w:rPr>
        <w:t xml:space="preserve">第三条 </w:t>
      </w:r>
      <w:r>
        <w:rPr>
          <w:rFonts w:hint="eastAsia"/>
          <w:sz w:val="32"/>
          <w:szCs w:val="32"/>
        </w:rPr>
        <w:t xml:space="preserve"> 本市行政区域内从事地下综合管廊规划、建设、运营和维护管理，在管廊内从事管线敷设、维护的，应遵守本办法。</w:t>
      </w:r>
    </w:p>
    <w:p>
      <w:pPr>
        <w:spacing w:line="576" w:lineRule="exact"/>
        <w:ind w:firstLine="640"/>
        <w:jc w:val="left"/>
        <w:rPr>
          <w:rFonts w:hint="eastAsia"/>
          <w:sz w:val="32"/>
          <w:szCs w:val="32"/>
        </w:rPr>
      </w:pPr>
      <w:r>
        <w:rPr>
          <w:rFonts w:hint="eastAsia"/>
          <w:sz w:val="32"/>
          <w:szCs w:val="32"/>
        </w:rPr>
        <w:t>国防、军事等涉密管廊工程的管理除外。</w:t>
      </w:r>
    </w:p>
    <w:p>
      <w:pPr>
        <w:spacing w:line="576" w:lineRule="exact"/>
        <w:ind w:firstLine="640"/>
        <w:jc w:val="left"/>
        <w:rPr>
          <w:rFonts w:hint="eastAsia"/>
          <w:sz w:val="32"/>
          <w:szCs w:val="32"/>
        </w:rPr>
      </w:pPr>
      <w:r>
        <w:rPr>
          <w:rFonts w:hint="eastAsia" w:ascii="黑体" w:hAnsi="黑体" w:eastAsia="黑体" w:cs="黑体"/>
          <w:sz w:val="32"/>
          <w:szCs w:val="32"/>
        </w:rPr>
        <w:t xml:space="preserve">第四条 </w:t>
      </w:r>
      <w:r>
        <w:rPr>
          <w:rFonts w:hint="eastAsia"/>
          <w:sz w:val="32"/>
          <w:szCs w:val="32"/>
        </w:rPr>
        <w:t xml:space="preserve"> 地下综合管廊应当遵循政府主导、规划先行、有偿使用、安全运行的原则。</w:t>
      </w:r>
    </w:p>
    <w:p>
      <w:pPr>
        <w:spacing w:line="576" w:lineRule="exact"/>
        <w:ind w:firstLine="640"/>
        <w:jc w:val="left"/>
        <w:rPr>
          <w:rFonts w:hint="eastAsia"/>
          <w:sz w:val="32"/>
          <w:szCs w:val="32"/>
        </w:rPr>
      </w:pPr>
      <w:r>
        <w:rPr>
          <w:rFonts w:hint="eastAsia" w:ascii="黑体" w:hAnsi="黑体" w:eastAsia="黑体" w:cs="黑体"/>
          <w:sz w:val="32"/>
          <w:szCs w:val="32"/>
        </w:rPr>
        <w:t>第五条</w:t>
      </w:r>
      <w:r>
        <w:rPr>
          <w:rFonts w:hint="eastAsia"/>
          <w:sz w:val="32"/>
          <w:szCs w:val="32"/>
        </w:rPr>
        <w:t xml:space="preserve">  市建设行业主管部门负责全市地下综合管廊规划、建设、运营等工作的综合协调。</w:t>
      </w:r>
    </w:p>
    <w:p>
      <w:pPr>
        <w:spacing w:line="576" w:lineRule="exact"/>
        <w:ind w:firstLine="640"/>
        <w:jc w:val="left"/>
        <w:rPr>
          <w:rFonts w:hint="eastAsia"/>
          <w:sz w:val="32"/>
          <w:szCs w:val="32"/>
        </w:rPr>
      </w:pPr>
      <w:r>
        <w:rPr>
          <w:rFonts w:hint="eastAsia"/>
          <w:sz w:val="32"/>
          <w:szCs w:val="32"/>
        </w:rPr>
        <w:t>发改(物价)、公安、财政、规土、执法、安监、人防等主管部门和各区(开发区)、县(市)人民政府应当按照各自职责，协同做好地下综合管廊的相关管理工作。</w:t>
      </w:r>
    </w:p>
    <w:p>
      <w:pPr>
        <w:spacing w:line="576" w:lineRule="exact"/>
        <w:ind w:firstLine="640"/>
        <w:jc w:val="left"/>
        <w:rPr>
          <w:rFonts w:hint="eastAsia"/>
          <w:sz w:val="32"/>
          <w:szCs w:val="32"/>
        </w:rPr>
      </w:pPr>
      <w:r>
        <w:rPr>
          <w:rFonts w:hint="eastAsia"/>
          <w:sz w:val="32"/>
          <w:szCs w:val="32"/>
        </w:rPr>
        <w:t>给水、排水、燃气、热力、电力、通信、广播电视等入廊管线单位应当配合地下综合管廊建设运营单位，做好管线入廊、运行监控、日常维护、费用缴纳等具体工作。</w:t>
      </w:r>
    </w:p>
    <w:p>
      <w:pPr>
        <w:spacing w:line="576" w:lineRule="exact"/>
        <w:ind w:firstLine="640"/>
        <w:jc w:val="left"/>
        <w:rPr>
          <w:rFonts w:hint="eastAsia"/>
          <w:sz w:val="32"/>
          <w:szCs w:val="32"/>
        </w:rPr>
      </w:pPr>
      <w:r>
        <w:rPr>
          <w:rFonts w:hint="eastAsia" w:ascii="黑体" w:hAnsi="黑体" w:eastAsia="黑体" w:cs="黑体"/>
          <w:sz w:val="32"/>
          <w:szCs w:val="32"/>
        </w:rPr>
        <w:t xml:space="preserve">第六条 </w:t>
      </w:r>
      <w:r>
        <w:rPr>
          <w:rFonts w:hint="eastAsia"/>
          <w:sz w:val="32"/>
          <w:szCs w:val="32"/>
        </w:rPr>
        <w:t xml:space="preserve"> 市规划行政主管部门应当依据城市总体规划和土地利用总体规划，组织编制本市中心城区地下综合管廊专项规划，报市政府批准实施。</w:t>
      </w:r>
    </w:p>
    <w:p>
      <w:pPr>
        <w:spacing w:line="576" w:lineRule="exact"/>
        <w:ind w:firstLine="640"/>
        <w:jc w:val="left"/>
        <w:rPr>
          <w:rFonts w:hint="eastAsia"/>
          <w:sz w:val="32"/>
          <w:szCs w:val="32"/>
        </w:rPr>
      </w:pPr>
      <w:r>
        <w:rPr>
          <w:rFonts w:hint="eastAsia"/>
          <w:sz w:val="32"/>
          <w:szCs w:val="32"/>
        </w:rPr>
        <w:t>地下综合管廊专项规划编制过程中应当听取和吸收地下管线行业主管部门、权属单位的意见，并与本市地下空间开发利用总体规划、综合交通规划、城市快速轨道交通线网规划及建设规划等专项规划，以及给水、排水、燃气等建设发展规划及既有地下管线紧密衔接，合理确定地下综合管廊建设布局、管线种类、断面形式、平面位置、竖向控制等指标。</w:t>
      </w:r>
    </w:p>
    <w:p>
      <w:pPr>
        <w:spacing w:line="576" w:lineRule="exact"/>
        <w:ind w:firstLine="640"/>
        <w:jc w:val="left"/>
        <w:rPr>
          <w:rFonts w:hint="eastAsia"/>
          <w:sz w:val="32"/>
          <w:szCs w:val="32"/>
        </w:rPr>
      </w:pPr>
      <w:r>
        <w:rPr>
          <w:rFonts w:hint="eastAsia" w:ascii="黑体" w:hAnsi="黑体" w:eastAsia="黑体" w:cs="黑体"/>
          <w:sz w:val="32"/>
          <w:szCs w:val="32"/>
        </w:rPr>
        <w:t>第七条</w:t>
      </w:r>
      <w:r>
        <w:rPr>
          <w:rFonts w:hint="eastAsia"/>
          <w:sz w:val="32"/>
          <w:szCs w:val="32"/>
        </w:rPr>
        <w:t xml:space="preserve">  地下综合管廊专项规划期限应当与城市总体规划一致，并结合国民经济和社会发展需要，五年进行一次修订。</w:t>
      </w:r>
    </w:p>
    <w:p>
      <w:pPr>
        <w:spacing w:line="576" w:lineRule="exact"/>
        <w:ind w:firstLine="640"/>
        <w:jc w:val="left"/>
        <w:rPr>
          <w:rFonts w:hint="eastAsia"/>
          <w:sz w:val="32"/>
          <w:szCs w:val="32"/>
        </w:rPr>
      </w:pPr>
      <w:r>
        <w:rPr>
          <w:rFonts w:hint="eastAsia"/>
          <w:sz w:val="32"/>
          <w:szCs w:val="32"/>
        </w:rPr>
        <w:t>地下综合管廊规划目标、重点任务、投资总额、建设规模和时序等内容应当纳入同期经济社会发展规划纲要，同步提交实施情况评估报告，统筹解决管廊规划、建设、运营等工作中的重大事项。</w:t>
      </w:r>
    </w:p>
    <w:p>
      <w:pPr>
        <w:spacing w:line="576" w:lineRule="exact"/>
        <w:ind w:firstLine="640"/>
        <w:jc w:val="left"/>
        <w:rPr>
          <w:rFonts w:hint="eastAsia"/>
          <w:sz w:val="32"/>
          <w:szCs w:val="32"/>
        </w:rPr>
      </w:pPr>
      <w:r>
        <w:rPr>
          <w:rFonts w:hint="eastAsia" w:ascii="黑体" w:hAnsi="黑体" w:eastAsia="黑体" w:cs="黑体"/>
          <w:sz w:val="32"/>
          <w:szCs w:val="32"/>
        </w:rPr>
        <w:t>第八条</w:t>
      </w:r>
      <w:r>
        <w:rPr>
          <w:rFonts w:hint="eastAsia"/>
          <w:sz w:val="32"/>
          <w:szCs w:val="32"/>
        </w:rPr>
        <w:t xml:space="preserve">  城市新区、各类园区、成片开发区域新建道路，应当按照地下综合管廊专项规划，同步建设地下综合管廊。</w:t>
      </w:r>
    </w:p>
    <w:p>
      <w:pPr>
        <w:spacing w:line="576" w:lineRule="exact"/>
        <w:ind w:firstLine="640"/>
        <w:jc w:val="left"/>
        <w:rPr>
          <w:rFonts w:hint="eastAsia"/>
          <w:sz w:val="32"/>
          <w:szCs w:val="32"/>
        </w:rPr>
      </w:pPr>
      <w:r>
        <w:rPr>
          <w:rFonts w:hint="eastAsia"/>
          <w:sz w:val="32"/>
          <w:szCs w:val="32"/>
        </w:rPr>
        <w:t>老城区应当结合旧城改造、地下空间开发、地铁建设、道路大修等工作，因地制宜、科学合理安排地下综合管廊建设。</w:t>
      </w:r>
    </w:p>
    <w:p>
      <w:pPr>
        <w:spacing w:line="576" w:lineRule="exact"/>
        <w:ind w:firstLine="640"/>
        <w:jc w:val="left"/>
        <w:rPr>
          <w:rFonts w:hint="eastAsia"/>
          <w:sz w:val="32"/>
          <w:szCs w:val="32"/>
        </w:rPr>
      </w:pPr>
      <w:r>
        <w:rPr>
          <w:rFonts w:hint="eastAsia" w:ascii="黑体" w:hAnsi="黑体" w:eastAsia="黑体" w:cs="黑体"/>
          <w:sz w:val="32"/>
          <w:szCs w:val="32"/>
        </w:rPr>
        <w:t>第九条</w:t>
      </w:r>
      <w:r>
        <w:rPr>
          <w:rFonts w:hint="eastAsia"/>
          <w:sz w:val="32"/>
          <w:szCs w:val="32"/>
        </w:rPr>
        <w:t xml:space="preserve">  市建设行业主管部门组织各区(开发区)、县(市)建设行业主管部门依据管廊专项规划，编制五年项目滚动建设计划，建立项目库，储备建设项目。</w:t>
      </w:r>
    </w:p>
    <w:p>
      <w:pPr>
        <w:spacing w:line="576" w:lineRule="exact"/>
        <w:ind w:firstLine="640"/>
        <w:jc w:val="left"/>
        <w:rPr>
          <w:rFonts w:hint="eastAsia"/>
          <w:sz w:val="32"/>
          <w:szCs w:val="32"/>
        </w:rPr>
      </w:pPr>
      <w:r>
        <w:rPr>
          <w:rFonts w:hint="eastAsia"/>
          <w:sz w:val="32"/>
          <w:szCs w:val="32"/>
        </w:rPr>
        <w:t>地下综合管廊项目库内具备实施条件的，由市建设行业主管部门会同市发改、财政等部门编制管廊工程年度建设计划，确定项目名称、建设内容及规模、投资总额、建设期限，经市政府批准后实施，并向社会公布。</w:t>
      </w:r>
    </w:p>
    <w:p>
      <w:pPr>
        <w:spacing w:line="576" w:lineRule="exact"/>
        <w:ind w:firstLine="640"/>
        <w:jc w:val="left"/>
        <w:rPr>
          <w:rFonts w:hint="eastAsia"/>
          <w:sz w:val="32"/>
          <w:szCs w:val="32"/>
        </w:rPr>
      </w:pPr>
      <w:r>
        <w:rPr>
          <w:rFonts w:hint="eastAsia" w:ascii="黑体" w:hAnsi="黑体" w:eastAsia="黑体" w:cs="黑体"/>
          <w:sz w:val="32"/>
          <w:szCs w:val="32"/>
        </w:rPr>
        <w:t>第十条</w:t>
      </w:r>
      <w:r>
        <w:rPr>
          <w:rFonts w:hint="eastAsia"/>
          <w:sz w:val="32"/>
          <w:szCs w:val="32"/>
        </w:rPr>
        <w:t xml:space="preserve">  地下综合管廊建设可以采用多渠道、多方式筹集资金。</w:t>
      </w:r>
    </w:p>
    <w:p>
      <w:pPr>
        <w:spacing w:line="576" w:lineRule="exact"/>
        <w:ind w:firstLine="640"/>
        <w:jc w:val="left"/>
        <w:rPr>
          <w:rFonts w:hint="eastAsia"/>
          <w:sz w:val="32"/>
          <w:szCs w:val="32"/>
        </w:rPr>
      </w:pPr>
      <w:r>
        <w:rPr>
          <w:rFonts w:hint="eastAsia"/>
          <w:sz w:val="32"/>
          <w:szCs w:val="32"/>
        </w:rPr>
        <w:t>采用政府和社会资本合作(PPP)模式的，政府通过特许经营、股份合作、经营补贴等形式，鼓励社会资本共同参与地下综合管廊建设运营。</w:t>
      </w:r>
    </w:p>
    <w:p>
      <w:pPr>
        <w:spacing w:line="576" w:lineRule="exact"/>
        <w:ind w:firstLine="640"/>
        <w:jc w:val="left"/>
        <w:rPr>
          <w:rFonts w:hint="eastAsia"/>
          <w:sz w:val="32"/>
          <w:szCs w:val="32"/>
        </w:rPr>
      </w:pPr>
      <w:r>
        <w:rPr>
          <w:rFonts w:hint="eastAsia"/>
          <w:sz w:val="32"/>
          <w:szCs w:val="32"/>
        </w:rPr>
        <w:t>鼓励入廊管线单位共同组建或者与社会资本合作组建股份制公司，或者在政府指导下组成地下综合管廊业主委员会，公开招标选择建设和运营管理单位。</w:t>
      </w:r>
    </w:p>
    <w:p>
      <w:pPr>
        <w:spacing w:line="576" w:lineRule="exact"/>
        <w:ind w:firstLine="640"/>
        <w:jc w:val="left"/>
        <w:rPr>
          <w:rFonts w:hint="eastAsia"/>
          <w:sz w:val="32"/>
          <w:szCs w:val="32"/>
        </w:rPr>
      </w:pPr>
      <w:r>
        <w:rPr>
          <w:rFonts w:hint="eastAsia" w:ascii="黑体" w:hAnsi="黑体" w:eastAsia="黑体" w:cs="黑体"/>
          <w:sz w:val="32"/>
          <w:szCs w:val="32"/>
        </w:rPr>
        <w:t xml:space="preserve">第十一条 </w:t>
      </w:r>
      <w:r>
        <w:rPr>
          <w:rFonts w:hint="eastAsia"/>
          <w:sz w:val="32"/>
          <w:szCs w:val="32"/>
        </w:rPr>
        <w:t xml:space="preserve"> 地下综合管廊建设单位应当按照国家规定的基本建设程序实施工程建设。</w:t>
      </w:r>
    </w:p>
    <w:p>
      <w:pPr>
        <w:spacing w:line="576" w:lineRule="exact"/>
        <w:ind w:firstLine="640"/>
        <w:jc w:val="left"/>
        <w:rPr>
          <w:rFonts w:hint="eastAsia"/>
          <w:sz w:val="32"/>
          <w:szCs w:val="32"/>
        </w:rPr>
      </w:pPr>
      <w:r>
        <w:rPr>
          <w:rFonts w:hint="eastAsia"/>
          <w:sz w:val="32"/>
          <w:szCs w:val="32"/>
        </w:rPr>
        <w:t>建设行业主管部门应当加强对地下综合管廊项目设计、施工、监理、验收等全过程各环节的支持、指导、监管和服务。</w:t>
      </w:r>
    </w:p>
    <w:p>
      <w:pPr>
        <w:spacing w:line="576" w:lineRule="exact"/>
        <w:ind w:firstLine="640"/>
        <w:jc w:val="left"/>
        <w:rPr>
          <w:rFonts w:hint="eastAsia"/>
          <w:sz w:val="32"/>
          <w:szCs w:val="32"/>
        </w:rPr>
      </w:pPr>
      <w:r>
        <w:rPr>
          <w:rFonts w:hint="eastAsia" w:ascii="黑体" w:hAnsi="黑体" w:eastAsia="黑体" w:cs="黑体"/>
          <w:sz w:val="32"/>
          <w:szCs w:val="32"/>
        </w:rPr>
        <w:t>第十二条</w:t>
      </w:r>
      <w:r>
        <w:rPr>
          <w:rFonts w:hint="eastAsia"/>
          <w:sz w:val="32"/>
          <w:szCs w:val="32"/>
        </w:rPr>
        <w:t xml:space="preserve">  地下综合管廊建设工程的勘察、设计、施工、监理等单位的确定，应当依照有关法律、法规和规章规定进行。</w:t>
      </w:r>
    </w:p>
    <w:p>
      <w:pPr>
        <w:spacing w:line="576" w:lineRule="exact"/>
        <w:ind w:firstLine="640"/>
        <w:jc w:val="left"/>
        <w:rPr>
          <w:rFonts w:hint="eastAsia"/>
          <w:sz w:val="32"/>
          <w:szCs w:val="32"/>
        </w:rPr>
      </w:pPr>
      <w:r>
        <w:rPr>
          <w:rFonts w:hint="eastAsia"/>
          <w:sz w:val="32"/>
          <w:szCs w:val="32"/>
        </w:rPr>
        <w:t>地下综合管廊建设工程的勘察、设计、施工、监理等工作，应当符合有关技术规范和标准。</w:t>
      </w:r>
    </w:p>
    <w:p>
      <w:pPr>
        <w:spacing w:line="576" w:lineRule="exact"/>
        <w:ind w:firstLine="640"/>
        <w:jc w:val="left"/>
        <w:rPr>
          <w:rFonts w:hint="eastAsia"/>
          <w:sz w:val="32"/>
          <w:szCs w:val="32"/>
        </w:rPr>
      </w:pPr>
      <w:r>
        <w:rPr>
          <w:rFonts w:hint="eastAsia" w:ascii="黑体" w:hAnsi="黑体" w:eastAsia="黑体" w:cs="黑体"/>
          <w:sz w:val="32"/>
          <w:szCs w:val="32"/>
        </w:rPr>
        <w:t>第十三条</w:t>
      </w:r>
      <w:r>
        <w:rPr>
          <w:rFonts w:hint="eastAsia"/>
          <w:sz w:val="32"/>
          <w:szCs w:val="32"/>
        </w:rPr>
        <w:t xml:space="preserve">  地下综合管廊需穿(跨)越或者利用城市道路、人防设施、河道以及堤防设施，或者涉及消防安全、文物古迹保护、军事用地、树木保护等，建设单位应当依法办理相关手续。</w:t>
      </w:r>
    </w:p>
    <w:p>
      <w:pPr>
        <w:spacing w:line="576" w:lineRule="exact"/>
        <w:ind w:firstLine="640"/>
        <w:jc w:val="left"/>
        <w:rPr>
          <w:rFonts w:hint="eastAsia"/>
          <w:sz w:val="32"/>
          <w:szCs w:val="32"/>
        </w:rPr>
      </w:pPr>
      <w:r>
        <w:rPr>
          <w:rFonts w:hint="eastAsia" w:ascii="黑体" w:hAnsi="黑体" w:eastAsia="黑体" w:cs="黑体"/>
          <w:sz w:val="32"/>
          <w:szCs w:val="32"/>
        </w:rPr>
        <w:t xml:space="preserve">第十四条 </w:t>
      </w:r>
      <w:r>
        <w:rPr>
          <w:rFonts w:hint="eastAsia"/>
          <w:sz w:val="32"/>
          <w:szCs w:val="32"/>
        </w:rPr>
        <w:t xml:space="preserve"> 地下综合管廊建设单位因建设工程需要，向给水、排水、燃气、热力、电力、通信等有关部门或者单位查询资料时，有关部门或者单位应当提供。</w:t>
      </w:r>
    </w:p>
    <w:p>
      <w:pPr>
        <w:spacing w:line="576" w:lineRule="exact"/>
        <w:ind w:firstLine="640"/>
        <w:jc w:val="left"/>
        <w:rPr>
          <w:rFonts w:hint="eastAsia"/>
          <w:sz w:val="32"/>
          <w:szCs w:val="32"/>
        </w:rPr>
      </w:pPr>
      <w:r>
        <w:rPr>
          <w:rFonts w:hint="eastAsia" w:ascii="黑体" w:hAnsi="黑体" w:eastAsia="黑体" w:cs="黑体"/>
          <w:sz w:val="32"/>
          <w:szCs w:val="32"/>
        </w:rPr>
        <w:t>第十五条</w:t>
      </w:r>
      <w:r>
        <w:rPr>
          <w:rFonts w:hint="eastAsia"/>
          <w:sz w:val="32"/>
          <w:szCs w:val="32"/>
        </w:rPr>
        <w:t xml:space="preserve">  地下综合管廊工程竣工后，建设单位应当对因施工造成的道路开挖、管线迁移和绿化损坏等进行恢复，并完成临时道路、管线、建(构)筑物等的拆除和清理。</w:t>
      </w:r>
    </w:p>
    <w:p>
      <w:pPr>
        <w:spacing w:line="576" w:lineRule="exact"/>
        <w:ind w:firstLine="640"/>
        <w:jc w:val="left"/>
        <w:rPr>
          <w:rFonts w:hint="eastAsia"/>
          <w:sz w:val="32"/>
          <w:szCs w:val="32"/>
        </w:rPr>
      </w:pPr>
      <w:r>
        <w:rPr>
          <w:rFonts w:hint="eastAsia" w:ascii="黑体" w:hAnsi="黑体" w:eastAsia="黑体" w:cs="黑体"/>
          <w:sz w:val="32"/>
          <w:szCs w:val="32"/>
        </w:rPr>
        <w:t>第十六条</w:t>
      </w:r>
      <w:r>
        <w:rPr>
          <w:rFonts w:hint="eastAsia"/>
          <w:sz w:val="32"/>
          <w:szCs w:val="32"/>
        </w:rPr>
        <w:t xml:space="preserve">  地下综合管廊工程竣工后，建设单位应当按照设计标准和国家有关规定组织验收。</w:t>
      </w:r>
    </w:p>
    <w:p>
      <w:pPr>
        <w:spacing w:line="576" w:lineRule="exact"/>
        <w:ind w:firstLine="640"/>
        <w:jc w:val="left"/>
        <w:rPr>
          <w:rFonts w:hint="eastAsia"/>
          <w:sz w:val="32"/>
          <w:szCs w:val="32"/>
        </w:rPr>
      </w:pPr>
      <w:r>
        <w:rPr>
          <w:rFonts w:hint="eastAsia"/>
          <w:sz w:val="32"/>
          <w:szCs w:val="32"/>
        </w:rPr>
        <w:t>管廊工程竣工后，地下综合管廊建设单位应当依法在规定时限内向相关档案管理机构报送工程档案资料。</w:t>
      </w:r>
    </w:p>
    <w:p>
      <w:pPr>
        <w:spacing w:line="576" w:lineRule="exact"/>
        <w:ind w:firstLine="640"/>
        <w:jc w:val="left"/>
        <w:rPr>
          <w:rFonts w:hint="eastAsia"/>
          <w:sz w:val="32"/>
          <w:szCs w:val="32"/>
        </w:rPr>
      </w:pPr>
      <w:r>
        <w:rPr>
          <w:rFonts w:hint="eastAsia" w:ascii="黑体" w:hAnsi="黑体" w:eastAsia="黑体" w:cs="黑体"/>
          <w:sz w:val="32"/>
          <w:szCs w:val="32"/>
        </w:rPr>
        <w:t>第十七条</w:t>
      </w:r>
      <w:r>
        <w:rPr>
          <w:rFonts w:hint="eastAsia"/>
          <w:sz w:val="32"/>
          <w:szCs w:val="32"/>
        </w:rPr>
        <w:t xml:space="preserve">  地下综合管廊工程竣工验收合格后，建设单位应当在建(构)筑物明显部位设置永久性标牌，载明建设、勘察、设计、施工、监理单位等工程质量责任主体的名称和主要责任人姓名。</w:t>
      </w:r>
    </w:p>
    <w:p>
      <w:pPr>
        <w:spacing w:line="576" w:lineRule="exact"/>
        <w:ind w:firstLine="640"/>
        <w:jc w:val="left"/>
        <w:rPr>
          <w:rFonts w:hint="eastAsia"/>
          <w:sz w:val="32"/>
          <w:szCs w:val="32"/>
        </w:rPr>
      </w:pPr>
      <w:r>
        <w:rPr>
          <w:rFonts w:hint="eastAsia" w:ascii="黑体" w:hAnsi="黑体" w:eastAsia="黑体" w:cs="黑体"/>
          <w:sz w:val="32"/>
          <w:szCs w:val="32"/>
        </w:rPr>
        <w:t>第十八条</w:t>
      </w:r>
      <w:r>
        <w:rPr>
          <w:rFonts w:hint="eastAsia"/>
          <w:sz w:val="32"/>
          <w:szCs w:val="32"/>
        </w:rPr>
        <w:t xml:space="preserve"> 在已建设地下综合管廊的区域新建、改建、扩建管线的，应当按照有关规定纳入综合管廊建设和管理。在地下综合管廊以外的位置新建管线的，各行业主管部门应当采用必要措施严格控制。既有管线应当根据实际情况逐步有序迁移至地下综合管廊。</w:t>
      </w:r>
    </w:p>
    <w:p>
      <w:pPr>
        <w:spacing w:line="576" w:lineRule="exact"/>
        <w:ind w:firstLine="640"/>
        <w:jc w:val="left"/>
        <w:rPr>
          <w:rFonts w:hint="eastAsia"/>
          <w:sz w:val="32"/>
          <w:szCs w:val="32"/>
        </w:rPr>
      </w:pPr>
      <w:r>
        <w:rPr>
          <w:rFonts w:hint="eastAsia" w:ascii="黑体" w:hAnsi="黑体" w:eastAsia="黑体" w:cs="黑体"/>
          <w:sz w:val="32"/>
          <w:szCs w:val="32"/>
        </w:rPr>
        <w:t>第十九条</w:t>
      </w:r>
      <w:r>
        <w:rPr>
          <w:rFonts w:hint="eastAsia"/>
          <w:sz w:val="32"/>
          <w:szCs w:val="32"/>
        </w:rPr>
        <w:t xml:space="preserve"> 社会资本参与建设运营的地下综合管廊项目应当列入政府与社会资本合作(PPP)计划。目标管廊的建设运营模式，由政府与社会资本合作(PPP)计划确定。</w:t>
      </w:r>
    </w:p>
    <w:p>
      <w:pPr>
        <w:spacing w:line="576" w:lineRule="exact"/>
        <w:ind w:firstLine="640"/>
        <w:jc w:val="left"/>
        <w:rPr>
          <w:rFonts w:hint="eastAsia"/>
          <w:sz w:val="32"/>
          <w:szCs w:val="32"/>
        </w:rPr>
      </w:pPr>
      <w:r>
        <w:rPr>
          <w:rFonts w:hint="eastAsia" w:ascii="黑体" w:hAnsi="黑体" w:eastAsia="黑体" w:cs="黑体"/>
          <w:sz w:val="32"/>
          <w:szCs w:val="32"/>
        </w:rPr>
        <w:t>第二十条</w:t>
      </w:r>
      <w:r>
        <w:rPr>
          <w:rFonts w:hint="eastAsia"/>
          <w:sz w:val="32"/>
          <w:szCs w:val="32"/>
        </w:rPr>
        <w:t xml:space="preserve"> 经同级人民政府授权后，建设行业主管部门可以作为实施机构负责地下综合管廊PPP项目有关实施工作。实施机构应当与依法选定的社会资本签订PPP项目合同。</w:t>
      </w:r>
    </w:p>
    <w:p>
      <w:pPr>
        <w:spacing w:line="576" w:lineRule="exact"/>
        <w:ind w:firstLine="640"/>
        <w:jc w:val="left"/>
        <w:rPr>
          <w:rFonts w:hint="eastAsia"/>
          <w:sz w:val="32"/>
          <w:szCs w:val="32"/>
        </w:rPr>
      </w:pPr>
      <w:r>
        <w:rPr>
          <w:rFonts w:hint="eastAsia" w:ascii="黑体" w:hAnsi="黑体" w:eastAsia="黑体" w:cs="黑体"/>
          <w:sz w:val="32"/>
          <w:szCs w:val="32"/>
        </w:rPr>
        <w:t>第二十一条</w:t>
      </w:r>
      <w:r>
        <w:rPr>
          <w:rFonts w:hint="eastAsia"/>
          <w:sz w:val="32"/>
          <w:szCs w:val="32"/>
        </w:rPr>
        <w:t xml:space="preserve"> 地下综合管廊实行有偿使用制度，入廊管线单位应当缴纳管廊入廊费和日常维护费。具体收费由地下综合管廊建设运营单位与入廊管线单位协商确定，协商不成的按照国家和省有关规定执行。</w:t>
      </w:r>
    </w:p>
    <w:p>
      <w:pPr>
        <w:spacing w:line="576" w:lineRule="exact"/>
        <w:ind w:firstLine="640"/>
        <w:jc w:val="left"/>
        <w:rPr>
          <w:rFonts w:hint="eastAsia"/>
          <w:sz w:val="32"/>
          <w:szCs w:val="32"/>
        </w:rPr>
      </w:pPr>
      <w:r>
        <w:rPr>
          <w:rFonts w:hint="eastAsia" w:ascii="黑体" w:hAnsi="黑体" w:eastAsia="黑体" w:cs="黑体"/>
          <w:sz w:val="32"/>
          <w:szCs w:val="32"/>
        </w:rPr>
        <w:t>第二十二条</w:t>
      </w:r>
      <w:r>
        <w:rPr>
          <w:rFonts w:hint="eastAsia"/>
          <w:sz w:val="32"/>
          <w:szCs w:val="32"/>
        </w:rPr>
        <w:t xml:space="preserve"> 地下综合管廊建设运营单位应当履行下列职责：</w:t>
      </w:r>
    </w:p>
    <w:p>
      <w:pPr>
        <w:spacing w:line="576" w:lineRule="exact"/>
        <w:ind w:firstLine="640"/>
        <w:jc w:val="left"/>
        <w:rPr>
          <w:rFonts w:hint="eastAsia"/>
          <w:sz w:val="32"/>
          <w:szCs w:val="32"/>
        </w:rPr>
      </w:pPr>
      <w:r>
        <w:rPr>
          <w:rFonts w:hint="eastAsia"/>
          <w:sz w:val="32"/>
          <w:szCs w:val="32"/>
        </w:rPr>
        <w:t>(一)遵守安全生产法律、法规、规章、技术标准和技术规范，并接受有关部门监督检查；</w:t>
      </w:r>
    </w:p>
    <w:p>
      <w:pPr>
        <w:spacing w:line="576" w:lineRule="exact"/>
        <w:ind w:firstLine="640"/>
        <w:jc w:val="left"/>
        <w:rPr>
          <w:rFonts w:hint="eastAsia"/>
          <w:sz w:val="32"/>
          <w:szCs w:val="32"/>
        </w:rPr>
      </w:pPr>
      <w:r>
        <w:rPr>
          <w:rFonts w:hint="eastAsia"/>
          <w:sz w:val="32"/>
          <w:szCs w:val="32"/>
        </w:rPr>
        <w:t>(二)定期开展综合管廊设施设备的养护和维修，并设立台帐存档，保持管廊及附属设施运转正常、设备完好；</w:t>
      </w:r>
    </w:p>
    <w:p>
      <w:pPr>
        <w:spacing w:line="576" w:lineRule="exact"/>
        <w:ind w:firstLine="640"/>
        <w:jc w:val="left"/>
        <w:rPr>
          <w:rFonts w:hint="eastAsia"/>
          <w:sz w:val="32"/>
          <w:szCs w:val="32"/>
        </w:rPr>
      </w:pPr>
      <w:r>
        <w:rPr>
          <w:rFonts w:hint="eastAsia"/>
          <w:sz w:val="32"/>
          <w:szCs w:val="32"/>
        </w:rPr>
        <w:t>(三)保持管廊内部干净整洁，通风良好；</w:t>
      </w:r>
    </w:p>
    <w:p>
      <w:pPr>
        <w:spacing w:line="576" w:lineRule="exact"/>
        <w:ind w:firstLine="640"/>
        <w:jc w:val="left"/>
        <w:rPr>
          <w:rFonts w:hint="eastAsia"/>
          <w:sz w:val="32"/>
          <w:szCs w:val="32"/>
        </w:rPr>
      </w:pPr>
      <w:r>
        <w:rPr>
          <w:rFonts w:hint="eastAsia"/>
          <w:sz w:val="32"/>
          <w:szCs w:val="32"/>
        </w:rPr>
        <w:t>(四)做好管廊保护区和综合管廊安全监控，开展巡查等安全保障工作，排查事故隐患并及时整改，并做好记录；</w:t>
      </w:r>
    </w:p>
    <w:p>
      <w:pPr>
        <w:spacing w:line="576" w:lineRule="exact"/>
        <w:ind w:firstLine="640"/>
        <w:jc w:val="left"/>
        <w:rPr>
          <w:rFonts w:hint="eastAsia"/>
          <w:sz w:val="32"/>
          <w:szCs w:val="32"/>
        </w:rPr>
      </w:pPr>
      <w:r>
        <w:rPr>
          <w:rFonts w:hint="eastAsia"/>
          <w:sz w:val="32"/>
          <w:szCs w:val="32"/>
        </w:rPr>
        <w:t>(五)建立完善信息管理系统，促进管廊信息资源的即时交换、共建共享和动态更新；</w:t>
      </w:r>
    </w:p>
    <w:p>
      <w:pPr>
        <w:spacing w:line="576" w:lineRule="exact"/>
        <w:ind w:firstLine="640"/>
        <w:jc w:val="left"/>
        <w:rPr>
          <w:rFonts w:hint="eastAsia"/>
          <w:sz w:val="32"/>
          <w:szCs w:val="32"/>
        </w:rPr>
      </w:pPr>
      <w:r>
        <w:rPr>
          <w:rFonts w:hint="eastAsia"/>
          <w:sz w:val="32"/>
          <w:szCs w:val="32"/>
        </w:rPr>
        <w:t>(六)协助和配合管线维护单位开展管线入廊施工、巡查、养护和维修工作；</w:t>
      </w:r>
    </w:p>
    <w:p>
      <w:pPr>
        <w:spacing w:line="576" w:lineRule="exact"/>
        <w:ind w:firstLine="640"/>
        <w:jc w:val="left"/>
        <w:rPr>
          <w:rFonts w:hint="eastAsia"/>
          <w:sz w:val="32"/>
          <w:szCs w:val="32"/>
        </w:rPr>
      </w:pPr>
      <w:r>
        <w:rPr>
          <w:rFonts w:hint="eastAsia"/>
          <w:sz w:val="32"/>
          <w:szCs w:val="32"/>
        </w:rPr>
        <w:t>(七)编制地下综合管廊安全事故应急预案，与入廊管线安全事故应急预案相衔接，并定期开展演练。应急预案包括报告程序、应急指挥以及处置措施等内容；</w:t>
      </w:r>
    </w:p>
    <w:p>
      <w:pPr>
        <w:spacing w:line="576" w:lineRule="exact"/>
        <w:ind w:firstLine="640"/>
        <w:jc w:val="left"/>
        <w:rPr>
          <w:rFonts w:hint="eastAsia"/>
          <w:sz w:val="32"/>
          <w:szCs w:val="32"/>
        </w:rPr>
      </w:pPr>
      <w:r>
        <w:rPr>
          <w:rFonts w:hint="eastAsia"/>
          <w:sz w:val="32"/>
          <w:szCs w:val="32"/>
        </w:rPr>
        <w:t>(八)建立健全突发事件处置和应急管理等工作机制。发生险情时，采取应急措施降低事故影响和损失，保障生命财产安全；</w:t>
      </w:r>
    </w:p>
    <w:p>
      <w:pPr>
        <w:spacing w:line="576" w:lineRule="exact"/>
        <w:ind w:firstLine="640"/>
        <w:jc w:val="left"/>
        <w:rPr>
          <w:rFonts w:hint="eastAsia"/>
          <w:sz w:val="32"/>
          <w:szCs w:val="32"/>
        </w:rPr>
      </w:pPr>
      <w:r>
        <w:rPr>
          <w:rFonts w:hint="eastAsia"/>
          <w:sz w:val="32"/>
          <w:szCs w:val="32"/>
        </w:rPr>
        <w:t>(九)建立二十四小时值班制度，保持信息渠道畅通；</w:t>
      </w:r>
    </w:p>
    <w:p>
      <w:pPr>
        <w:spacing w:line="576" w:lineRule="exact"/>
        <w:ind w:firstLine="640"/>
        <w:jc w:val="left"/>
        <w:rPr>
          <w:rFonts w:hint="eastAsia"/>
          <w:sz w:val="32"/>
          <w:szCs w:val="32"/>
        </w:rPr>
      </w:pPr>
      <w:r>
        <w:rPr>
          <w:rFonts w:hint="eastAsia"/>
          <w:sz w:val="32"/>
          <w:szCs w:val="32"/>
        </w:rPr>
        <w:t>(十)为保障地下综合管廊安全运行应履行的其他义务。</w:t>
      </w:r>
    </w:p>
    <w:p>
      <w:pPr>
        <w:spacing w:line="576" w:lineRule="exact"/>
        <w:ind w:firstLine="640"/>
        <w:jc w:val="left"/>
        <w:rPr>
          <w:rFonts w:hint="eastAsia"/>
          <w:sz w:val="32"/>
          <w:szCs w:val="32"/>
        </w:rPr>
      </w:pPr>
      <w:r>
        <w:rPr>
          <w:rFonts w:hint="eastAsia" w:ascii="黑体" w:hAnsi="黑体" w:eastAsia="黑体" w:cs="黑体"/>
          <w:sz w:val="32"/>
          <w:szCs w:val="32"/>
        </w:rPr>
        <w:t>第二十三条</w:t>
      </w:r>
      <w:r>
        <w:rPr>
          <w:rFonts w:hint="eastAsia"/>
          <w:sz w:val="32"/>
          <w:szCs w:val="32"/>
        </w:rPr>
        <w:t xml:space="preserve">  入廊管线单位应当履行下列职责：</w:t>
      </w:r>
    </w:p>
    <w:p>
      <w:pPr>
        <w:spacing w:line="576" w:lineRule="exact"/>
        <w:ind w:firstLine="640"/>
        <w:jc w:val="left"/>
        <w:rPr>
          <w:rFonts w:hint="eastAsia"/>
          <w:sz w:val="32"/>
          <w:szCs w:val="32"/>
        </w:rPr>
      </w:pPr>
      <w:r>
        <w:rPr>
          <w:rFonts w:hint="eastAsia"/>
          <w:sz w:val="32"/>
          <w:szCs w:val="32"/>
        </w:rPr>
        <w:t>(一)负责管线入廊敷设、迁移、增容、废弃；</w:t>
      </w:r>
    </w:p>
    <w:p>
      <w:pPr>
        <w:spacing w:line="576" w:lineRule="exact"/>
        <w:ind w:firstLine="640"/>
        <w:jc w:val="left"/>
        <w:rPr>
          <w:rFonts w:hint="eastAsia"/>
          <w:sz w:val="32"/>
          <w:szCs w:val="32"/>
        </w:rPr>
      </w:pPr>
      <w:r>
        <w:rPr>
          <w:rFonts w:hint="eastAsia"/>
          <w:sz w:val="32"/>
          <w:szCs w:val="32"/>
        </w:rPr>
        <w:t>(二)按时缴纳入廊费和日常维护费；</w:t>
      </w:r>
    </w:p>
    <w:p>
      <w:pPr>
        <w:spacing w:line="576" w:lineRule="exact"/>
        <w:ind w:firstLine="640"/>
        <w:jc w:val="left"/>
        <w:rPr>
          <w:rFonts w:hint="eastAsia"/>
          <w:sz w:val="32"/>
          <w:szCs w:val="32"/>
        </w:rPr>
      </w:pPr>
      <w:r>
        <w:rPr>
          <w:rFonts w:hint="eastAsia"/>
          <w:sz w:val="32"/>
          <w:szCs w:val="32"/>
        </w:rPr>
        <w:t>(三)管线使用和维护时执行相关安全技术标准规范；</w:t>
      </w:r>
    </w:p>
    <w:p>
      <w:pPr>
        <w:spacing w:line="576" w:lineRule="exact"/>
        <w:ind w:firstLine="640"/>
        <w:jc w:val="left"/>
        <w:rPr>
          <w:rFonts w:hint="eastAsia"/>
          <w:sz w:val="32"/>
          <w:szCs w:val="32"/>
        </w:rPr>
      </w:pPr>
      <w:r>
        <w:rPr>
          <w:rFonts w:hint="eastAsia"/>
          <w:sz w:val="32"/>
          <w:szCs w:val="32"/>
        </w:rPr>
        <w:t>(四)建立健全安全生产责任制，制定管线安全事故应急处置预案，抄送地下综合管廊建设运营单位并定期演练；</w:t>
      </w:r>
    </w:p>
    <w:p>
      <w:pPr>
        <w:spacing w:line="576" w:lineRule="exact"/>
        <w:ind w:firstLine="640"/>
        <w:jc w:val="left"/>
        <w:rPr>
          <w:rFonts w:hint="eastAsia"/>
          <w:sz w:val="32"/>
          <w:szCs w:val="32"/>
        </w:rPr>
      </w:pPr>
      <w:r>
        <w:rPr>
          <w:rFonts w:hint="eastAsia"/>
          <w:sz w:val="32"/>
          <w:szCs w:val="32"/>
        </w:rPr>
        <w:t>(五)编制并落实管线年度维护和巡检计划，做好维护和巡检记录，内容包括维护和巡检人员、时间、地点(范围)、发现问题与处理措施、上报情况等；</w:t>
      </w:r>
    </w:p>
    <w:p>
      <w:pPr>
        <w:spacing w:line="576" w:lineRule="exact"/>
        <w:ind w:firstLine="640"/>
        <w:jc w:val="left"/>
        <w:rPr>
          <w:rFonts w:hint="eastAsia"/>
          <w:sz w:val="32"/>
          <w:szCs w:val="32"/>
        </w:rPr>
      </w:pPr>
      <w:r>
        <w:rPr>
          <w:rFonts w:hint="eastAsia"/>
          <w:sz w:val="32"/>
          <w:szCs w:val="32"/>
        </w:rPr>
        <w:t>(六)在地下综合管廊内实施明火作业时，应当取得管廊建设运营单位的同意，并制定完善的施工方案；</w:t>
      </w:r>
    </w:p>
    <w:p>
      <w:pPr>
        <w:spacing w:line="576" w:lineRule="exact"/>
        <w:ind w:firstLine="640"/>
        <w:jc w:val="left"/>
        <w:rPr>
          <w:rFonts w:hint="eastAsia"/>
          <w:sz w:val="32"/>
          <w:szCs w:val="32"/>
        </w:rPr>
      </w:pPr>
      <w:r>
        <w:rPr>
          <w:rFonts w:hint="eastAsia"/>
          <w:sz w:val="32"/>
          <w:szCs w:val="32"/>
        </w:rPr>
        <w:t>(七)配合地下综合管廊建设运营单位做好管廊的成品保护与安全运行，并接受其监督检查；</w:t>
      </w:r>
    </w:p>
    <w:p>
      <w:pPr>
        <w:spacing w:line="576" w:lineRule="exact"/>
        <w:ind w:firstLine="640"/>
        <w:jc w:val="left"/>
        <w:rPr>
          <w:rFonts w:hint="eastAsia"/>
          <w:sz w:val="32"/>
          <w:szCs w:val="32"/>
        </w:rPr>
      </w:pPr>
      <w:r>
        <w:rPr>
          <w:rFonts w:hint="eastAsia"/>
          <w:sz w:val="32"/>
          <w:szCs w:val="32"/>
        </w:rPr>
        <w:t>(八)为保障管线安全运行应履行的其他职责。</w:t>
      </w:r>
    </w:p>
    <w:p>
      <w:pPr>
        <w:spacing w:line="576" w:lineRule="exact"/>
        <w:ind w:firstLine="640"/>
        <w:jc w:val="left"/>
        <w:rPr>
          <w:rFonts w:hint="eastAsia"/>
          <w:sz w:val="32"/>
          <w:szCs w:val="32"/>
        </w:rPr>
      </w:pPr>
      <w:r>
        <w:rPr>
          <w:rFonts w:hint="eastAsia" w:ascii="黑体" w:hAnsi="黑体" w:eastAsia="黑体" w:cs="黑体"/>
          <w:sz w:val="32"/>
          <w:szCs w:val="32"/>
        </w:rPr>
        <w:t>第二十四条</w:t>
      </w:r>
      <w:r>
        <w:rPr>
          <w:rFonts w:hint="eastAsia"/>
          <w:sz w:val="32"/>
          <w:szCs w:val="32"/>
        </w:rPr>
        <w:t xml:space="preserve"> 地下综合管廊应当实施封闭管理措施。任何单位、组织和个人未经管廊建设运营单位允许，不得擅自进入管廊内部。</w:t>
      </w:r>
    </w:p>
    <w:p>
      <w:pPr>
        <w:spacing w:line="576" w:lineRule="exact"/>
        <w:ind w:firstLine="640"/>
        <w:jc w:val="left"/>
        <w:rPr>
          <w:rFonts w:hint="eastAsia"/>
          <w:sz w:val="32"/>
          <w:szCs w:val="32"/>
        </w:rPr>
      </w:pPr>
      <w:r>
        <w:rPr>
          <w:rFonts w:hint="eastAsia" w:ascii="黑体" w:hAnsi="黑体" w:eastAsia="黑体" w:cs="黑体"/>
          <w:sz w:val="32"/>
          <w:szCs w:val="32"/>
        </w:rPr>
        <w:t>第二十五条</w:t>
      </w:r>
      <w:r>
        <w:rPr>
          <w:rFonts w:hint="eastAsia"/>
          <w:sz w:val="32"/>
          <w:szCs w:val="32"/>
        </w:rPr>
        <w:t xml:space="preserve">  建设行业主管部门应当会同规划国土部门，按照管廊建设运营单位提供的管廊信息，依据有关标准或者技术规范，征求相关单位意见后，在管廊及其周边区域划定安全保护范围。</w:t>
      </w:r>
    </w:p>
    <w:p>
      <w:pPr>
        <w:spacing w:line="576" w:lineRule="exact"/>
        <w:ind w:firstLine="640"/>
        <w:jc w:val="left"/>
        <w:rPr>
          <w:rFonts w:hint="eastAsia"/>
          <w:sz w:val="32"/>
          <w:szCs w:val="32"/>
        </w:rPr>
      </w:pPr>
      <w:r>
        <w:rPr>
          <w:rFonts w:hint="eastAsia"/>
          <w:sz w:val="32"/>
          <w:szCs w:val="32"/>
        </w:rPr>
        <w:t>在地下综合管廊安全保护范围内，禁止从事下列活动：</w:t>
      </w:r>
    </w:p>
    <w:p>
      <w:pPr>
        <w:spacing w:line="576" w:lineRule="exact"/>
        <w:ind w:firstLine="640"/>
        <w:jc w:val="left"/>
        <w:rPr>
          <w:rFonts w:hint="eastAsia"/>
          <w:sz w:val="32"/>
          <w:szCs w:val="32"/>
        </w:rPr>
      </w:pPr>
      <w:r>
        <w:rPr>
          <w:rFonts w:hint="eastAsia"/>
          <w:sz w:val="32"/>
          <w:szCs w:val="32"/>
        </w:rPr>
        <w:t>(一)排放、倾倒腐蚀性液体、气体；</w:t>
      </w:r>
    </w:p>
    <w:p>
      <w:pPr>
        <w:spacing w:line="576" w:lineRule="exact"/>
        <w:ind w:firstLine="640"/>
        <w:jc w:val="left"/>
        <w:rPr>
          <w:rFonts w:hint="eastAsia"/>
          <w:sz w:val="32"/>
          <w:szCs w:val="32"/>
        </w:rPr>
      </w:pPr>
      <w:r>
        <w:rPr>
          <w:rFonts w:hint="eastAsia"/>
          <w:sz w:val="32"/>
          <w:szCs w:val="32"/>
        </w:rPr>
        <w:t>(二)燃放烟花爆竹等易燃易爆品；</w:t>
      </w:r>
    </w:p>
    <w:p>
      <w:pPr>
        <w:spacing w:line="576" w:lineRule="exact"/>
        <w:ind w:firstLine="640"/>
        <w:jc w:val="left"/>
        <w:rPr>
          <w:rFonts w:hint="eastAsia"/>
          <w:sz w:val="32"/>
          <w:szCs w:val="32"/>
        </w:rPr>
      </w:pPr>
      <w:r>
        <w:rPr>
          <w:rFonts w:hint="eastAsia"/>
          <w:sz w:val="32"/>
          <w:szCs w:val="32"/>
        </w:rPr>
        <w:t>(三)擅自实施爆破行为；</w:t>
      </w:r>
    </w:p>
    <w:p>
      <w:pPr>
        <w:spacing w:line="576" w:lineRule="exact"/>
        <w:ind w:firstLine="640"/>
        <w:jc w:val="left"/>
        <w:rPr>
          <w:rFonts w:hint="eastAsia"/>
          <w:sz w:val="32"/>
          <w:szCs w:val="32"/>
        </w:rPr>
      </w:pPr>
      <w:r>
        <w:rPr>
          <w:rFonts w:hint="eastAsia"/>
          <w:sz w:val="32"/>
          <w:szCs w:val="32"/>
        </w:rPr>
        <w:t>(四)擅自压占、挪移、损坏地下综合管廊及其附属设施；</w:t>
      </w:r>
    </w:p>
    <w:p>
      <w:pPr>
        <w:spacing w:line="576" w:lineRule="exact"/>
        <w:ind w:firstLine="640"/>
        <w:jc w:val="left"/>
        <w:rPr>
          <w:rFonts w:hint="eastAsia"/>
          <w:sz w:val="32"/>
          <w:szCs w:val="32"/>
        </w:rPr>
      </w:pPr>
      <w:r>
        <w:rPr>
          <w:rFonts w:hint="eastAsia"/>
          <w:sz w:val="32"/>
          <w:szCs w:val="32"/>
        </w:rPr>
        <w:t>(五)堆放易燃、易爆、有腐蚀性的物质；</w:t>
      </w:r>
    </w:p>
    <w:p>
      <w:pPr>
        <w:spacing w:line="576" w:lineRule="exact"/>
        <w:ind w:firstLine="640"/>
        <w:jc w:val="left"/>
        <w:rPr>
          <w:rFonts w:hint="eastAsia"/>
          <w:sz w:val="32"/>
          <w:szCs w:val="32"/>
        </w:rPr>
      </w:pPr>
      <w:r>
        <w:rPr>
          <w:rFonts w:hint="eastAsia"/>
          <w:sz w:val="32"/>
          <w:szCs w:val="32"/>
        </w:rPr>
        <w:t>(六)擅自实施挖掘、打桩、打夯或进行顶进作业；</w:t>
      </w:r>
    </w:p>
    <w:p>
      <w:pPr>
        <w:spacing w:line="576" w:lineRule="exact"/>
        <w:ind w:firstLine="640"/>
        <w:jc w:val="left"/>
        <w:rPr>
          <w:rFonts w:hint="eastAsia"/>
          <w:sz w:val="32"/>
          <w:szCs w:val="32"/>
        </w:rPr>
      </w:pPr>
      <w:r>
        <w:rPr>
          <w:rFonts w:hint="eastAsia"/>
          <w:sz w:val="32"/>
          <w:szCs w:val="32"/>
        </w:rPr>
        <w:t>(七)其他危及管廊安全的行为。</w:t>
      </w:r>
    </w:p>
    <w:p>
      <w:pPr>
        <w:spacing w:line="576" w:lineRule="exact"/>
        <w:ind w:firstLine="640"/>
        <w:jc w:val="left"/>
        <w:rPr>
          <w:rFonts w:hint="eastAsia"/>
          <w:sz w:val="32"/>
          <w:szCs w:val="32"/>
        </w:rPr>
      </w:pPr>
      <w:r>
        <w:rPr>
          <w:rFonts w:hint="eastAsia" w:ascii="黑体" w:hAnsi="黑体" w:eastAsia="黑体" w:cs="黑体"/>
          <w:sz w:val="32"/>
          <w:szCs w:val="32"/>
        </w:rPr>
        <w:t>第二十六条</w:t>
      </w:r>
      <w:r>
        <w:rPr>
          <w:rFonts w:hint="eastAsia"/>
          <w:sz w:val="32"/>
          <w:szCs w:val="32"/>
        </w:rPr>
        <w:t xml:space="preserve">  在管廊安全保护范围内从事下列活动的，除应急抢险外，施工单位应当组织专家进行论证、审查：</w:t>
      </w:r>
    </w:p>
    <w:p>
      <w:pPr>
        <w:spacing w:line="576" w:lineRule="exact"/>
        <w:ind w:firstLine="640"/>
        <w:jc w:val="left"/>
        <w:rPr>
          <w:rFonts w:hint="eastAsia"/>
          <w:sz w:val="32"/>
          <w:szCs w:val="32"/>
        </w:rPr>
      </w:pPr>
      <w:r>
        <w:rPr>
          <w:rFonts w:hint="eastAsia"/>
          <w:sz w:val="32"/>
          <w:szCs w:val="32"/>
        </w:rPr>
        <w:t>(一)建筑或者拆除对管廊运营安全有较大影响的建筑物、构筑物；</w:t>
      </w:r>
    </w:p>
    <w:p>
      <w:pPr>
        <w:spacing w:line="576" w:lineRule="exact"/>
        <w:ind w:firstLine="640"/>
        <w:jc w:val="left"/>
        <w:rPr>
          <w:rFonts w:hint="eastAsia"/>
          <w:sz w:val="32"/>
          <w:szCs w:val="32"/>
        </w:rPr>
      </w:pPr>
      <w:r>
        <w:rPr>
          <w:rFonts w:hint="eastAsia"/>
          <w:sz w:val="32"/>
          <w:szCs w:val="32"/>
        </w:rPr>
        <w:t>(二)从事打桩、挖掘、钻探、地下顶进、爆破、架设、降水、地基加固等施工作业；</w:t>
      </w:r>
    </w:p>
    <w:p>
      <w:pPr>
        <w:spacing w:line="576" w:lineRule="exact"/>
        <w:ind w:firstLine="640"/>
        <w:jc w:val="left"/>
        <w:rPr>
          <w:rFonts w:hint="eastAsia"/>
          <w:sz w:val="32"/>
          <w:szCs w:val="32"/>
        </w:rPr>
      </w:pPr>
      <w:r>
        <w:rPr>
          <w:rFonts w:hint="eastAsia"/>
          <w:sz w:val="32"/>
          <w:szCs w:val="32"/>
        </w:rPr>
        <w:t>(三)修建塘堰、开挖河道水渠、采石挖沙、打井取水；</w:t>
      </w:r>
    </w:p>
    <w:p>
      <w:pPr>
        <w:spacing w:line="576" w:lineRule="exact"/>
        <w:ind w:firstLine="640"/>
        <w:jc w:val="left"/>
        <w:rPr>
          <w:rFonts w:hint="eastAsia"/>
          <w:sz w:val="32"/>
          <w:szCs w:val="32"/>
        </w:rPr>
      </w:pPr>
      <w:r>
        <w:rPr>
          <w:rFonts w:hint="eastAsia"/>
          <w:sz w:val="32"/>
          <w:szCs w:val="32"/>
        </w:rPr>
        <w:t>(四)敷设管线、埋设电缆、管道设施，穿凿通过管廊的地下坑道；</w:t>
      </w:r>
    </w:p>
    <w:p>
      <w:pPr>
        <w:spacing w:line="576" w:lineRule="exact"/>
        <w:ind w:firstLine="640"/>
        <w:jc w:val="left"/>
        <w:rPr>
          <w:rFonts w:hint="eastAsia"/>
          <w:sz w:val="32"/>
          <w:szCs w:val="32"/>
        </w:rPr>
      </w:pPr>
      <w:r>
        <w:rPr>
          <w:rFonts w:hint="eastAsia"/>
          <w:sz w:val="32"/>
          <w:szCs w:val="32"/>
        </w:rPr>
        <w:t>(五)移动、拆除或者搬迁管廊设施；</w:t>
      </w:r>
    </w:p>
    <w:p>
      <w:pPr>
        <w:spacing w:line="576" w:lineRule="exact"/>
        <w:ind w:firstLine="640"/>
        <w:jc w:val="left"/>
        <w:rPr>
          <w:rFonts w:hint="eastAsia"/>
          <w:sz w:val="32"/>
          <w:szCs w:val="32"/>
        </w:rPr>
      </w:pPr>
      <w:r>
        <w:rPr>
          <w:rFonts w:hint="eastAsia"/>
          <w:sz w:val="32"/>
          <w:szCs w:val="32"/>
        </w:rPr>
        <w:t>(六)其他可能危害管廊运营安全的作业。</w:t>
      </w:r>
    </w:p>
    <w:p>
      <w:pPr>
        <w:spacing w:line="576" w:lineRule="exact"/>
        <w:ind w:firstLine="640"/>
        <w:jc w:val="left"/>
        <w:rPr>
          <w:rFonts w:hint="eastAsia"/>
          <w:sz w:val="32"/>
          <w:szCs w:val="32"/>
        </w:rPr>
      </w:pPr>
      <w:r>
        <w:rPr>
          <w:rFonts w:hint="eastAsia" w:ascii="黑体" w:hAnsi="黑体" w:eastAsia="黑体" w:cs="黑体"/>
          <w:sz w:val="32"/>
          <w:szCs w:val="32"/>
        </w:rPr>
        <w:t>第二十七条</w:t>
      </w:r>
      <w:r>
        <w:rPr>
          <w:rFonts w:hint="eastAsia"/>
          <w:sz w:val="32"/>
          <w:szCs w:val="32"/>
        </w:rPr>
        <w:t xml:space="preserve">  地下综合管廊本体、附属设施的维护工作由管廊建设运营单位负责，入廊管线的设施维护和日常管理由入廊管线单位负责。</w:t>
      </w:r>
    </w:p>
    <w:p>
      <w:pPr>
        <w:spacing w:line="576" w:lineRule="exact"/>
        <w:ind w:firstLine="640"/>
        <w:jc w:val="left"/>
        <w:rPr>
          <w:rFonts w:hint="eastAsia"/>
          <w:sz w:val="32"/>
          <w:szCs w:val="32"/>
        </w:rPr>
      </w:pPr>
      <w:r>
        <w:rPr>
          <w:rFonts w:hint="eastAsia" w:ascii="黑体" w:hAnsi="黑体" w:eastAsia="黑体" w:cs="黑体"/>
          <w:sz w:val="32"/>
          <w:szCs w:val="32"/>
        </w:rPr>
        <w:t>第二十八条</w:t>
      </w:r>
      <w:r>
        <w:rPr>
          <w:rFonts w:hint="eastAsia"/>
          <w:sz w:val="32"/>
          <w:szCs w:val="32"/>
        </w:rPr>
        <w:t xml:space="preserve">  因自然灾害、恶劣气象条件或者重大安全事故以及其他突发事件，严重影响地下综合管廊运行安全的，运营单位应当及时采取应急措施，并通知入廊管线单位，向县级以上人民政府和行业主管部门如实报告。</w:t>
      </w:r>
    </w:p>
    <w:p>
      <w:pPr>
        <w:spacing w:line="576" w:lineRule="exact"/>
        <w:ind w:firstLine="640"/>
        <w:jc w:val="left"/>
        <w:rPr>
          <w:rFonts w:hint="eastAsia"/>
          <w:sz w:val="32"/>
          <w:szCs w:val="32"/>
        </w:rPr>
      </w:pPr>
      <w:r>
        <w:rPr>
          <w:rFonts w:hint="eastAsia" w:ascii="黑体" w:hAnsi="黑体" w:eastAsia="黑体" w:cs="黑体"/>
          <w:sz w:val="32"/>
          <w:szCs w:val="32"/>
        </w:rPr>
        <w:t xml:space="preserve">第二十九条 </w:t>
      </w:r>
      <w:r>
        <w:rPr>
          <w:rFonts w:hint="eastAsia"/>
          <w:sz w:val="32"/>
          <w:szCs w:val="32"/>
        </w:rPr>
        <w:t xml:space="preserve"> 地下综合管廊建设、施工、勘察设计、监理、运营等单位违反本办法第十二条、第十三条、第十四条、第十六、第二十二条、第二十三条、第二十七条规定的，由相关行政主管部门责令改正；逾期未改正的，按照相关法律、法规予以查处。</w:t>
      </w:r>
    </w:p>
    <w:p>
      <w:pPr>
        <w:spacing w:line="576" w:lineRule="exact"/>
        <w:ind w:firstLine="640"/>
        <w:jc w:val="left"/>
        <w:rPr>
          <w:rFonts w:hint="eastAsia"/>
          <w:sz w:val="32"/>
          <w:szCs w:val="32"/>
        </w:rPr>
      </w:pPr>
      <w:r>
        <w:rPr>
          <w:rFonts w:hint="eastAsia" w:ascii="黑体" w:hAnsi="黑体" w:eastAsia="黑体" w:cs="黑体"/>
          <w:sz w:val="32"/>
          <w:szCs w:val="32"/>
        </w:rPr>
        <w:t xml:space="preserve">第三十条  </w:t>
      </w:r>
      <w:r>
        <w:rPr>
          <w:rFonts w:hint="eastAsia"/>
          <w:sz w:val="32"/>
          <w:szCs w:val="32"/>
        </w:rPr>
        <w:t>有关行政主管部门工作人员在管廊管理工作中违反规定，滥用职权、徇私舞弊、玩忽职守的，依法给予行政处分；构成犯罪的，依法追究刑事责任。</w:t>
      </w:r>
    </w:p>
    <w:p>
      <w:pPr>
        <w:spacing w:line="576" w:lineRule="exact"/>
        <w:ind w:firstLine="640"/>
        <w:jc w:val="left"/>
        <w:rPr>
          <w:rFonts w:hint="eastAsia"/>
          <w:sz w:val="32"/>
          <w:szCs w:val="32"/>
        </w:rPr>
      </w:pPr>
      <w:r>
        <w:rPr>
          <w:rFonts w:hint="eastAsia" w:ascii="黑体" w:hAnsi="黑体" w:eastAsia="黑体" w:cs="黑体"/>
          <w:sz w:val="32"/>
          <w:szCs w:val="32"/>
        </w:rPr>
        <w:t>第三十一条</w:t>
      </w:r>
      <w:r>
        <w:rPr>
          <w:rFonts w:hint="eastAsia"/>
          <w:sz w:val="32"/>
          <w:szCs w:val="32"/>
        </w:rPr>
        <w:t xml:space="preserve">  本办法自2019年2月1日起施行。</w:t>
      </w:r>
    </w:p>
    <w:p>
      <w:pPr>
        <w:ind w:firstLine="640"/>
        <w:jc w:val="center"/>
        <w:rPr>
          <w:rFonts w:hint="eastAsia"/>
          <w:sz w:val="32"/>
          <w:szCs w:val="32"/>
        </w:rPr>
      </w:pPr>
    </w:p>
    <w:p>
      <w:pPr>
        <w:spacing w:line="240" w:lineRule="auto"/>
        <w:ind w:firstLine="0" w:firstLineChars="0"/>
        <w:jc w:val="center"/>
        <w:rPr>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962" w:right="1474" w:bottom="1848" w:left="1587" w:header="851" w:footer="992" w:gutter="0"/>
      <w:pgNumType w:fmt="numberInDash"/>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5472"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9"/>
                  <w:ind w:firstLine="56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10"/>
      <w:wordWrap w:val="0"/>
      <w:ind w:left="5472" w:leftChars="2280" w:firstLine="6400" w:firstLineChars="2000"/>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X辽宁</w:t>
    </w:r>
    <w:r>
      <w:rPr>
        <w:rFonts w:hint="eastAsia" w:ascii="宋体" w:hAnsi="宋体" w:eastAsia="宋体" w:cs="宋体"/>
        <w:b/>
        <w:bCs/>
        <w:color w:val="005192"/>
        <w:sz w:val="28"/>
        <w:szCs w:val="44"/>
      </w:rPr>
      <w:t>沈阳市人民政府发布</w:t>
    </w:r>
  </w:p>
  <w:p>
    <w:pPr>
      <w:pStyle w:val="10"/>
      <w:wordWrap w:val="0"/>
      <w:ind w:left="5472" w:leftChars="2280" w:firstLine="5621"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643"/>
      <w:textAlignment w:val="center"/>
      <w:rPr>
        <w:rFonts w:ascii="宋体" w:hAnsi="宋体" w:eastAsia="宋体" w:cs="宋体"/>
        <w:b/>
        <w:bCs/>
        <w:color w:val="005192"/>
        <w:sz w:val="32"/>
      </w:rPr>
    </w:pPr>
    <w:r>
      <w:rPr>
        <w:rFonts w:ascii="宋体" w:hAnsi="宋体" w:eastAsia="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10"/>
      <w:ind w:firstLine="0" w:firstLineChars="0"/>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沈阳市人民政府</w:t>
    </w:r>
    <w:r>
      <w:rPr>
        <w:rFonts w:hint="eastAsia" w:ascii="宋体" w:hAnsi="宋体" w:eastAsia="宋体" w:cs="宋体"/>
        <w:b/>
        <w:bCs/>
        <w:color w:val="005192"/>
        <w:sz w:val="32"/>
        <w:szCs w:val="32"/>
      </w:rPr>
      <w:t>规章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72A27"/>
    <w:rsid w:val="006B0EDA"/>
    <w:rsid w:val="006D58CA"/>
    <w:rsid w:val="00993565"/>
    <w:rsid w:val="00A40445"/>
    <w:rsid w:val="00A6412A"/>
    <w:rsid w:val="00DC69F9"/>
    <w:rsid w:val="00EE4D27"/>
    <w:rsid w:val="019E71BD"/>
    <w:rsid w:val="04B679C3"/>
    <w:rsid w:val="080F63D8"/>
    <w:rsid w:val="09341458"/>
    <w:rsid w:val="0B0912D7"/>
    <w:rsid w:val="152D2DCA"/>
    <w:rsid w:val="1AC85722"/>
    <w:rsid w:val="1C2B3615"/>
    <w:rsid w:val="1DEC284C"/>
    <w:rsid w:val="1E6523AC"/>
    <w:rsid w:val="22440422"/>
    <w:rsid w:val="2E645478"/>
    <w:rsid w:val="316023F9"/>
    <w:rsid w:val="31A15F24"/>
    <w:rsid w:val="379A6DDD"/>
    <w:rsid w:val="395347B5"/>
    <w:rsid w:val="39A232A0"/>
    <w:rsid w:val="39E745AA"/>
    <w:rsid w:val="3B5A6BBB"/>
    <w:rsid w:val="3EDA13A6"/>
    <w:rsid w:val="42F058B7"/>
    <w:rsid w:val="436109F6"/>
    <w:rsid w:val="441A38D4"/>
    <w:rsid w:val="4B9D46A5"/>
    <w:rsid w:val="4BC77339"/>
    <w:rsid w:val="4C9236C5"/>
    <w:rsid w:val="505C172E"/>
    <w:rsid w:val="52F46F0B"/>
    <w:rsid w:val="53D8014D"/>
    <w:rsid w:val="55E064E0"/>
    <w:rsid w:val="572C6D10"/>
    <w:rsid w:val="5DC34279"/>
    <w:rsid w:val="608816D1"/>
    <w:rsid w:val="60EF4E7F"/>
    <w:rsid w:val="62A44DD0"/>
    <w:rsid w:val="660254A6"/>
    <w:rsid w:val="665233C1"/>
    <w:rsid w:val="67470A9D"/>
    <w:rsid w:val="6AD9688B"/>
    <w:rsid w:val="6B7FB8F9"/>
    <w:rsid w:val="6BC5581F"/>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720" w:firstLineChars="200"/>
      <w:jc w:val="both"/>
    </w:pPr>
    <w:rPr>
      <w:rFonts w:ascii="仿宋_GB2312" w:hAnsi="仿宋_GB2312" w:eastAsia="仿宋_GB2312" w:cs="Times New Roman"/>
      <w:kern w:val="2"/>
      <w:sz w:val="24"/>
      <w:szCs w:val="22"/>
      <w:lang w:val="en-US" w:eastAsia="zh-CN" w:bidi="ar-SA"/>
    </w:rPr>
  </w:style>
  <w:style w:type="paragraph" w:styleId="3">
    <w:name w:val="heading 1"/>
    <w:basedOn w:val="1"/>
    <w:next w:val="1"/>
    <w:qFormat/>
    <w:uiPriority w:val="0"/>
    <w:pPr>
      <w:keepNext/>
      <w:keepLines/>
      <w:spacing w:afterLines="100" w:line="600" w:lineRule="exact"/>
      <w:ind w:firstLine="0" w:firstLineChars="0"/>
      <w:jc w:val="center"/>
      <w:outlineLvl w:val="0"/>
    </w:pPr>
    <w:rPr>
      <w:rFonts w:ascii="Times New Roman" w:hAnsi="Times New Roman" w:eastAsia="方正小标宋简体"/>
      <w:kern w:val="44"/>
      <w:sz w:val="36"/>
    </w:rPr>
  </w:style>
  <w:style w:type="paragraph" w:styleId="4">
    <w:name w:val="heading 2"/>
    <w:basedOn w:val="1"/>
    <w:next w:val="1"/>
    <w:qFormat/>
    <w:uiPriority w:val="0"/>
    <w:pPr>
      <w:keepNext/>
      <w:keepLines/>
      <w:ind w:firstLine="0" w:firstLineChars="0"/>
      <w:outlineLvl w:val="1"/>
    </w:pPr>
    <w:rPr>
      <w:rFonts w:ascii="楷体_GB2312" w:hAnsi="楷体_GB2312" w:eastAsia="楷体_GB2312"/>
    </w:rPr>
  </w:style>
  <w:style w:type="paragraph" w:styleId="5">
    <w:name w:val="heading 3"/>
    <w:basedOn w:val="1"/>
    <w:next w:val="1"/>
    <w:link w:val="16"/>
    <w:qFormat/>
    <w:uiPriority w:val="0"/>
    <w:pPr>
      <w:spacing w:before="100" w:beforeAutospacing="1" w:after="100" w:afterAutospacing="1"/>
      <w:jc w:val="left"/>
      <w:outlineLvl w:val="2"/>
    </w:pPr>
    <w:rPr>
      <w:rFonts w:hint="eastAsia" w:ascii="宋体" w:hAnsi="宋体" w:eastAsia="黑体"/>
      <w:kern w:val="0"/>
      <w:szCs w:val="27"/>
    </w:rPr>
  </w:style>
  <w:style w:type="paragraph" w:styleId="6">
    <w:name w:val="heading 4"/>
    <w:basedOn w:val="1"/>
    <w:next w:val="1"/>
    <w:qFormat/>
    <w:uiPriority w:val="0"/>
    <w:pPr>
      <w:keepNext/>
      <w:spacing w:beforeLines="50" w:afterLines="50"/>
      <w:ind w:firstLine="0" w:firstLineChars="0"/>
      <w:jc w:val="center"/>
      <w:outlineLvl w:val="3"/>
    </w:pPr>
    <w:rPr>
      <w:rFonts w:ascii="Arial" w:hAnsi="Arial" w:eastAsia="黑体"/>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qFormat/>
    <w:uiPriority w:val="0"/>
    <w:pPr>
      <w:ind w:firstLine="632"/>
    </w:pPr>
  </w:style>
  <w:style w:type="paragraph" w:styleId="7">
    <w:name w:val="annotation text"/>
    <w:basedOn w:val="1"/>
    <w:qFormat/>
    <w:uiPriority w:val="0"/>
    <w:pPr>
      <w:jc w:val="left"/>
    </w:pPr>
  </w:style>
  <w:style w:type="paragraph" w:styleId="8">
    <w:name w:val="Balloon Text"/>
    <w:basedOn w:val="1"/>
    <w:link w:val="17"/>
    <w:qFormat/>
    <w:uiPriority w:val="0"/>
    <w:pPr>
      <w:spacing w:line="240" w:lineRule="auto"/>
    </w:pPr>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1">
    <w:name w:val="Normal (Web)"/>
    <w:basedOn w:val="1"/>
    <w:qFormat/>
    <w:uiPriority w:val="0"/>
    <w:pPr>
      <w:spacing w:beforeAutospacing="1" w:afterAutospacing="1"/>
      <w:jc w:val="left"/>
    </w:pPr>
    <w:rPr>
      <w:kern w:val="0"/>
    </w:rPr>
  </w:style>
  <w:style w:type="character" w:styleId="14">
    <w:name w:val="Strong"/>
    <w:qFormat/>
    <w:uiPriority w:val="0"/>
    <w:rPr>
      <w:b/>
    </w:rPr>
  </w:style>
  <w:style w:type="character" w:styleId="15">
    <w:name w:val="Hyperlink"/>
    <w:qFormat/>
    <w:uiPriority w:val="0"/>
    <w:rPr>
      <w:color w:val="0000FF"/>
      <w:u w:val="single"/>
    </w:rPr>
  </w:style>
  <w:style w:type="character" w:customStyle="1" w:styleId="16">
    <w:name w:val="标题 3 Char"/>
    <w:link w:val="5"/>
    <w:qFormat/>
    <w:uiPriority w:val="0"/>
    <w:rPr>
      <w:rFonts w:hint="eastAsia" w:ascii="宋体" w:hAnsi="宋体" w:eastAsia="黑体" w:cs="宋体"/>
      <w:kern w:val="0"/>
      <w:sz w:val="24"/>
      <w:szCs w:val="27"/>
    </w:rPr>
  </w:style>
  <w:style w:type="character" w:customStyle="1" w:styleId="17">
    <w:name w:val="批注框文本 Char"/>
    <w:basedOn w:val="13"/>
    <w:link w:val="8"/>
    <w:qFormat/>
    <w:uiPriority w:val="0"/>
    <w:rPr>
      <w:rFonts w:ascii="仿宋_GB2312" w:hAnsi="仿宋_GB2312"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598</Words>
  <Characters>3409</Characters>
  <Lines>28</Lines>
  <Paragraphs>7</Paragraphs>
  <TotalTime>3</TotalTime>
  <ScaleCrop>false</ScaleCrop>
  <LinksUpToDate>false</LinksUpToDate>
  <CharactersWithSpaces>4000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2022-12-30T10:28:00Z</dcterms:created>
  <dc:creator>t</dc:creator>
  <cp:lastModifiedBy>zfb</cp:lastModifiedBy>
  <cp:lastPrinted>2021-10-26T11:30:00Z</cp:lastPrinted>
  <dcterms:modified xsi:type="dcterms:W3CDTF">2023-03-14T16:09:34Z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5A899ADC038D466D900B502E9B066601</vt:lpwstr>
  </property>
</Properties>
</file>